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5538B8C2" w:rsidR="003F5E77" w:rsidRPr="00A66DAB" w:rsidRDefault="003F5E77" w:rsidP="003F5E77">
      <w:pPr>
        <w:pStyle w:val="Header"/>
        <w:tabs>
          <w:tab w:val="right" w:pos="9639"/>
        </w:tabs>
        <w:jc w:val="both"/>
        <w:rPr>
          <w:rFonts w:cs="Arial"/>
          <w:bCs/>
          <w:i/>
          <w:noProof w:val="0"/>
          <w:sz w:val="32"/>
          <w:lang w:eastAsia="zh-CN"/>
        </w:rPr>
      </w:pPr>
      <w:bookmarkStart w:id="0" w:name="_GoBack"/>
      <w:bookmarkEnd w:id="0"/>
      <w:r w:rsidRPr="00A66DAB">
        <w:rPr>
          <w:rFonts w:cs="Arial"/>
          <w:sz w:val="24"/>
          <w:lang w:eastAsia="zh-CN"/>
        </w:rPr>
        <w:t>3GPP T</w:t>
      </w:r>
      <w:bookmarkStart w:id="1" w:name="_Ref452454252"/>
      <w:bookmarkEnd w:id="1"/>
      <w:r w:rsidR="00E43E99">
        <w:rPr>
          <w:rFonts w:cs="Arial"/>
          <w:sz w:val="24"/>
          <w:lang w:eastAsia="zh-CN"/>
        </w:rPr>
        <w:t>SG RAN WG2 Meeting #</w:t>
      </w:r>
      <w:r w:rsidR="00DB429D">
        <w:rPr>
          <w:rFonts w:cs="Arial"/>
          <w:sz w:val="24"/>
          <w:lang w:eastAsia="zh-CN"/>
        </w:rPr>
        <w:t xml:space="preserve"> </w:t>
      </w:r>
      <w:r w:rsidR="00E43E99">
        <w:rPr>
          <w:rFonts w:cs="Arial"/>
          <w:sz w:val="24"/>
          <w:lang w:eastAsia="zh-CN"/>
        </w:rPr>
        <w:t>98</w:t>
      </w:r>
      <w:r w:rsidRPr="00A66DAB">
        <w:rPr>
          <w:rFonts w:cs="Arial"/>
          <w:sz w:val="24"/>
          <w:lang w:eastAsia="zh-CN"/>
        </w:rPr>
        <w:t xml:space="preserve">   </w:t>
      </w:r>
      <w:r w:rsidRPr="00A66DAB">
        <w:rPr>
          <w:rFonts w:cs="Arial"/>
          <w:bCs/>
          <w:noProof w:val="0"/>
          <w:sz w:val="24"/>
        </w:rPr>
        <w:t xml:space="preserve">                                                      </w:t>
      </w:r>
      <w:r w:rsidR="008203D8" w:rsidRPr="008203D8">
        <w:rPr>
          <w:rFonts w:cs="Arial"/>
          <w:bCs/>
          <w:noProof w:val="0"/>
          <w:sz w:val="24"/>
        </w:rPr>
        <w:t>R2-17</w:t>
      </w:r>
      <w:r w:rsidR="003D2B70">
        <w:rPr>
          <w:rFonts w:cs="Arial"/>
          <w:bCs/>
          <w:noProof w:val="0"/>
          <w:sz w:val="24"/>
        </w:rPr>
        <w:t>04784</w:t>
      </w:r>
    </w:p>
    <w:p w14:paraId="6E5B34B2" w14:textId="4714C28F" w:rsidR="003F5E77" w:rsidRPr="00A66DAB" w:rsidRDefault="00E43E99" w:rsidP="003F5E77">
      <w:pPr>
        <w:pStyle w:val="Header"/>
        <w:jc w:val="both"/>
        <w:rPr>
          <w:rFonts w:cs="Arial"/>
          <w:sz w:val="24"/>
          <w:lang w:eastAsia="zh-CN"/>
        </w:rPr>
      </w:pPr>
      <w:r>
        <w:rPr>
          <w:rFonts w:cs="Arial"/>
          <w:sz w:val="24"/>
          <w:szCs w:val="24"/>
          <w:bdr w:val="none" w:sz="0" w:space="0" w:color="auto" w:frame="1"/>
        </w:rPr>
        <w:t>Hangzhou, China</w:t>
      </w:r>
      <w:r w:rsidR="003F5E77">
        <w:rPr>
          <w:rFonts w:cs="Arial"/>
          <w:sz w:val="24"/>
          <w:szCs w:val="24"/>
          <w:lang w:eastAsia="zh-CN"/>
        </w:rPr>
        <w:t>,</w:t>
      </w:r>
      <w:r w:rsidR="003F5E77" w:rsidRPr="00A66DAB">
        <w:rPr>
          <w:rFonts w:cs="Arial"/>
          <w:sz w:val="24"/>
          <w:lang w:eastAsia="zh-CN"/>
        </w:rPr>
        <w:t xml:space="preserve"> </w:t>
      </w:r>
      <w:r>
        <w:rPr>
          <w:rFonts w:cs="Arial"/>
          <w:sz w:val="24"/>
          <w:lang w:eastAsia="zh-CN"/>
        </w:rPr>
        <w:t>1</w:t>
      </w:r>
      <w:r w:rsidR="00DB429D">
        <w:rPr>
          <w:rFonts w:cs="Arial"/>
          <w:sz w:val="24"/>
          <w:lang w:eastAsia="zh-CN"/>
        </w:rPr>
        <w:t>5</w:t>
      </w:r>
      <w:r w:rsidRPr="00E43E99">
        <w:rPr>
          <w:rFonts w:cs="Arial"/>
          <w:sz w:val="24"/>
          <w:vertAlign w:val="superscript"/>
          <w:lang w:eastAsia="zh-CN"/>
        </w:rPr>
        <w:t>th</w:t>
      </w:r>
      <w:r>
        <w:rPr>
          <w:rFonts w:cs="Arial"/>
          <w:sz w:val="24"/>
          <w:lang w:eastAsia="zh-CN"/>
        </w:rPr>
        <w:t xml:space="preserve"> </w:t>
      </w:r>
      <w:r w:rsidR="00AF5795">
        <w:rPr>
          <w:rFonts w:cs="Arial"/>
          <w:sz w:val="24"/>
          <w:lang w:eastAsia="zh-CN"/>
        </w:rPr>
        <w:t xml:space="preserve">– </w:t>
      </w:r>
      <w:r>
        <w:rPr>
          <w:rFonts w:cs="Arial"/>
          <w:sz w:val="24"/>
          <w:lang w:eastAsia="zh-CN"/>
        </w:rPr>
        <w:t>19</w:t>
      </w:r>
      <w:r w:rsidR="00EC1DFF" w:rsidRPr="003B2E53">
        <w:rPr>
          <w:rFonts w:cs="Arial"/>
          <w:sz w:val="24"/>
          <w:vertAlign w:val="superscript"/>
          <w:lang w:eastAsia="zh-CN"/>
        </w:rPr>
        <w:t>th</w:t>
      </w:r>
      <w:r w:rsidR="003F5E77" w:rsidRPr="00A66DAB">
        <w:rPr>
          <w:rFonts w:cs="Arial"/>
          <w:sz w:val="24"/>
          <w:lang w:eastAsia="zh-CN"/>
        </w:rPr>
        <w:t xml:space="preserve"> </w:t>
      </w:r>
      <w:r>
        <w:rPr>
          <w:rFonts w:cs="Arial"/>
          <w:sz w:val="24"/>
          <w:lang w:eastAsia="zh-CN"/>
        </w:rPr>
        <w:t>May</w:t>
      </w:r>
      <w:r w:rsidR="003F5E77">
        <w:rPr>
          <w:rFonts w:cs="Arial"/>
          <w:sz w:val="24"/>
          <w:lang w:eastAsia="zh-CN"/>
        </w:rPr>
        <w:t xml:space="preserve"> 2017</w:t>
      </w:r>
    </w:p>
    <w:p w14:paraId="3C01718C" w14:textId="77777777" w:rsidR="003F5E77" w:rsidRPr="00A66DAB" w:rsidRDefault="003F5E77" w:rsidP="003F5E77">
      <w:pPr>
        <w:pStyle w:val="Header"/>
        <w:jc w:val="both"/>
        <w:rPr>
          <w:rFonts w:cs="Arial"/>
          <w:bCs/>
          <w:noProof w:val="0"/>
          <w:sz w:val="24"/>
          <w:lang w:eastAsia="ja-JP"/>
        </w:rPr>
      </w:pPr>
    </w:p>
    <w:p w14:paraId="1E6DDC75" w14:textId="66010F58"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912015">
        <w:rPr>
          <w:rFonts w:cs="Arial"/>
          <w:bCs/>
          <w:sz w:val="24"/>
          <w:lang w:val="en-US"/>
        </w:rPr>
        <w:t>10</w:t>
      </w:r>
      <w:r>
        <w:rPr>
          <w:rFonts w:cs="Arial"/>
          <w:bCs/>
          <w:sz w:val="24"/>
          <w:lang w:val="en-US"/>
        </w:rPr>
        <w:t>.</w:t>
      </w:r>
      <w:r w:rsidR="00F5050C">
        <w:rPr>
          <w:rFonts w:cs="Arial"/>
          <w:bCs/>
          <w:sz w:val="24"/>
          <w:lang w:val="en-US"/>
        </w:rPr>
        <w:t>3.1.5</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6D7C50E8"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3F4991">
        <w:rPr>
          <w:rFonts w:ascii="Arial" w:hAnsi="Arial" w:cs="Arial"/>
          <w:bCs/>
          <w:sz w:val="24"/>
        </w:rPr>
        <w:t>E</w:t>
      </w:r>
      <w:r w:rsidR="00FD62C8" w:rsidRPr="00FD62C8">
        <w:rPr>
          <w:rFonts w:ascii="Arial" w:hAnsi="Arial" w:cs="Arial"/>
          <w:bCs/>
          <w:sz w:val="24"/>
        </w:rPr>
        <w:t>nhancement</w:t>
      </w:r>
      <w:r w:rsidR="00FD62C8">
        <w:rPr>
          <w:rFonts w:ascii="Arial" w:hAnsi="Arial" w:cs="Arial"/>
          <w:bCs/>
          <w:sz w:val="24"/>
        </w:rPr>
        <w:t xml:space="preserve"> of SR/</w:t>
      </w:r>
      <w:r w:rsidR="00FD62C8" w:rsidRPr="00FD62C8">
        <w:rPr>
          <w:rFonts w:ascii="Arial" w:hAnsi="Arial" w:cs="Arial"/>
          <w:bCs/>
          <w:sz w:val="24"/>
        </w:rPr>
        <w:t xml:space="preserve">BSR </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2" w:name="_Ref429645891"/>
      <w:r w:rsidRPr="00A66DAB">
        <w:rPr>
          <w:rFonts w:cs="Arial"/>
        </w:rPr>
        <w:t>Introduction</w:t>
      </w:r>
      <w:bookmarkEnd w:id="2"/>
    </w:p>
    <w:p w14:paraId="21B53E67" w14:textId="06A34148" w:rsidR="003C4942" w:rsidRDefault="005E0EDE" w:rsidP="003C4942">
      <w:pPr>
        <w:rPr>
          <w:lang w:val="en-GB" w:eastAsia="x-none"/>
        </w:rPr>
      </w:pPr>
      <w:r>
        <w:rPr>
          <w:lang w:val="en-GB" w:eastAsia="x-none"/>
        </w:rPr>
        <w:t xml:space="preserve">In LTE, </w:t>
      </w:r>
      <w:r w:rsidR="002F2D32">
        <w:rPr>
          <w:lang w:val="en-GB" w:eastAsia="x-none"/>
        </w:rPr>
        <w:t xml:space="preserve">SR/BSR based </w:t>
      </w:r>
      <w:r>
        <w:rPr>
          <w:lang w:val="en-GB" w:eastAsia="x-none"/>
        </w:rPr>
        <w:t xml:space="preserve">UL scheduling is </w:t>
      </w:r>
      <w:r w:rsidR="009C7071">
        <w:rPr>
          <w:lang w:val="en-GB" w:eastAsia="x-none"/>
        </w:rPr>
        <w:t xml:space="preserve">mainly </w:t>
      </w:r>
      <w:r>
        <w:rPr>
          <w:lang w:val="en-GB" w:eastAsia="x-none"/>
        </w:rPr>
        <w:t>based on UE</w:t>
      </w:r>
      <w:r w:rsidR="002F2D32">
        <w:rPr>
          <w:lang w:val="en-GB" w:eastAsia="x-none"/>
        </w:rPr>
        <w:t xml:space="preserve"> sending a Scheduling Request</w:t>
      </w:r>
      <w:r>
        <w:rPr>
          <w:lang w:val="en-GB" w:eastAsia="x-none"/>
        </w:rPr>
        <w:t xml:space="preserve"> to the </w:t>
      </w:r>
      <w:proofErr w:type="spellStart"/>
      <w:r>
        <w:rPr>
          <w:lang w:val="en-GB" w:eastAsia="x-none"/>
        </w:rPr>
        <w:t>eNB</w:t>
      </w:r>
      <w:proofErr w:type="spellEnd"/>
      <w:r>
        <w:rPr>
          <w:lang w:val="en-GB" w:eastAsia="x-none"/>
        </w:rPr>
        <w:t xml:space="preserve"> to provide UL grant for transmitting the BSR. The information of the amount of data for each of the logical channel group (LCG) is </w:t>
      </w:r>
      <w:r w:rsidR="002F2D32">
        <w:rPr>
          <w:lang w:val="en-GB" w:eastAsia="x-none"/>
        </w:rPr>
        <w:t xml:space="preserve">then </w:t>
      </w:r>
      <w:r>
        <w:rPr>
          <w:lang w:val="en-GB" w:eastAsia="x-none"/>
        </w:rPr>
        <w:t xml:space="preserve">provided in the BSR.  In NR, UL scheduling based on SR/BSR </w:t>
      </w:r>
      <w:r w:rsidR="004758A9">
        <w:rPr>
          <w:lang w:val="en-GB" w:eastAsia="x-none"/>
        </w:rPr>
        <w:t>can</w:t>
      </w:r>
      <w:r>
        <w:rPr>
          <w:lang w:val="en-GB" w:eastAsia="x-none"/>
        </w:rPr>
        <w:t xml:space="preserve"> be used for </w:t>
      </w:r>
      <w:proofErr w:type="spellStart"/>
      <w:r>
        <w:rPr>
          <w:lang w:val="en-GB" w:eastAsia="x-none"/>
        </w:rPr>
        <w:t>eMBB</w:t>
      </w:r>
      <w:proofErr w:type="spellEnd"/>
      <w:r>
        <w:rPr>
          <w:lang w:val="en-GB" w:eastAsia="x-none"/>
        </w:rPr>
        <w:t>.  For URLLC, other than the grant</w:t>
      </w:r>
      <w:r w:rsidR="009C7071">
        <w:rPr>
          <w:lang w:val="en-GB" w:eastAsia="x-none"/>
        </w:rPr>
        <w:t>-</w:t>
      </w:r>
      <w:r>
        <w:rPr>
          <w:lang w:val="en-GB" w:eastAsia="x-none"/>
        </w:rPr>
        <w:t>less transmission, UL scheduling based on SR/BSR is also being co</w:t>
      </w:r>
      <w:r w:rsidR="009C7071">
        <w:rPr>
          <w:lang w:val="en-GB" w:eastAsia="x-none"/>
        </w:rPr>
        <w:t>nsidered by RAN 1.</w:t>
      </w:r>
      <w:r>
        <w:rPr>
          <w:lang w:val="en-GB" w:eastAsia="x-none"/>
        </w:rPr>
        <w:t xml:space="preserve"> </w:t>
      </w:r>
    </w:p>
    <w:p w14:paraId="400C1F34" w14:textId="0FC6EC50" w:rsidR="003C4942" w:rsidRDefault="003C4942" w:rsidP="003C4942">
      <w:pPr>
        <w:rPr>
          <w:lang w:val="en-GB" w:eastAsia="x-none"/>
        </w:rPr>
      </w:pPr>
      <w:r>
        <w:rPr>
          <w:lang w:val="en-GB" w:eastAsia="x-none"/>
        </w:rPr>
        <w:t>In RAN2#97bis meeting [</w:t>
      </w:r>
      <w:r w:rsidR="0084166D">
        <w:rPr>
          <w:lang w:val="en-GB" w:eastAsia="x-none"/>
        </w:rPr>
        <w:t>1</w:t>
      </w:r>
      <w:r>
        <w:rPr>
          <w:lang w:val="en-GB" w:eastAsia="x-none"/>
        </w:rPr>
        <w:t>], following agreement was made regarding SR and BSR enhancement.</w:t>
      </w:r>
    </w:p>
    <w:p w14:paraId="4127B974" w14:textId="77777777" w:rsidR="003C4942" w:rsidRPr="00647A68" w:rsidRDefault="003C4942" w:rsidP="003C4942">
      <w:pPr>
        <w:pStyle w:val="Doc-text2"/>
        <w:pBdr>
          <w:top w:val="single" w:sz="4" w:space="1" w:color="auto"/>
          <w:left w:val="single" w:sz="4" w:space="4" w:color="auto"/>
          <w:bottom w:val="single" w:sz="4" w:space="1" w:color="auto"/>
          <w:right w:val="single" w:sz="4" w:space="4" w:color="auto"/>
        </w:pBdr>
        <w:tabs>
          <w:tab w:val="left" w:pos="450"/>
        </w:tabs>
        <w:rPr>
          <w:b/>
        </w:rPr>
      </w:pPr>
      <w:r>
        <w:rPr>
          <w:b/>
        </w:rPr>
        <w:t xml:space="preserve">RAN2 </w:t>
      </w:r>
      <w:r w:rsidRPr="00647A68">
        <w:rPr>
          <w:b/>
        </w:rPr>
        <w:t>Agreements on SR</w:t>
      </w:r>
      <w:r>
        <w:rPr>
          <w:b/>
        </w:rPr>
        <w:t>/BRS</w:t>
      </w:r>
    </w:p>
    <w:p w14:paraId="2C026E49" w14:textId="77777777" w:rsidR="003C4942" w:rsidRDefault="003C4942" w:rsidP="003C4942">
      <w:pPr>
        <w:pStyle w:val="Doc-text2"/>
        <w:pBdr>
          <w:top w:val="single" w:sz="4" w:space="1" w:color="auto"/>
          <w:left w:val="single" w:sz="4" w:space="4" w:color="auto"/>
          <w:bottom w:val="single" w:sz="4" w:space="1" w:color="auto"/>
          <w:right w:val="single" w:sz="4" w:space="4" w:color="auto"/>
        </w:pBdr>
        <w:tabs>
          <w:tab w:val="left" w:pos="450"/>
        </w:tabs>
      </w:pPr>
      <w:r>
        <w:rPr>
          <w:i/>
        </w:rPr>
        <w:t>-</w:t>
      </w:r>
      <w:r>
        <w:rPr>
          <w:i/>
        </w:rPr>
        <w:tab/>
      </w:r>
      <w:r>
        <w:t xml:space="preserve">The SR should at least distinguish the “numerology/TTI type” of the logical channel that triggered the SR (how this is done is FFS).   </w:t>
      </w:r>
    </w:p>
    <w:p w14:paraId="744DA382" w14:textId="77777777" w:rsidR="003C4942" w:rsidRDefault="003C4942" w:rsidP="003C4942">
      <w:pPr>
        <w:pStyle w:val="Doc-text2"/>
        <w:pBdr>
          <w:top w:val="single" w:sz="4" w:space="1" w:color="auto"/>
          <w:left w:val="single" w:sz="4" w:space="4" w:color="auto"/>
          <w:bottom w:val="single" w:sz="4" w:space="1" w:color="auto"/>
          <w:right w:val="single" w:sz="4" w:space="4" w:color="auto"/>
        </w:pBdr>
        <w:tabs>
          <w:tab w:val="left" w:pos="450"/>
        </w:tabs>
      </w:pPr>
      <w:r>
        <w:t>-</w:t>
      </w:r>
      <w:r>
        <w:tab/>
      </w:r>
      <w:r w:rsidRPr="006E424D">
        <w:t>The existing LTE BSR framework is used as baseline for NR BSR framework.</w:t>
      </w:r>
      <w:r>
        <w:t xml:space="preserve">  Further </w:t>
      </w:r>
      <w:proofErr w:type="gramStart"/>
      <w:r>
        <w:t>enhancements</w:t>
      </w:r>
      <w:proofErr w:type="gramEnd"/>
      <w:r>
        <w:t xml:space="preserve"> at least </w:t>
      </w:r>
      <w:r w:rsidRPr="006E424D">
        <w:t>related to numerologies and granulari</w:t>
      </w:r>
      <w:r>
        <w:t>ty and can be further</w:t>
      </w:r>
      <w:r w:rsidRPr="006E424D">
        <w:t xml:space="preserve"> discussed</w:t>
      </w:r>
      <w:r>
        <w:t>,</w:t>
      </w:r>
    </w:p>
    <w:p w14:paraId="6186ACE2" w14:textId="77777777" w:rsidR="003C4942" w:rsidRDefault="003C4942" w:rsidP="003C4942">
      <w:pPr>
        <w:pStyle w:val="Doc-text2"/>
        <w:pBdr>
          <w:top w:val="single" w:sz="4" w:space="1" w:color="auto"/>
          <w:left w:val="single" w:sz="4" w:space="4" w:color="auto"/>
          <w:bottom w:val="single" w:sz="4" w:space="1" w:color="auto"/>
          <w:right w:val="single" w:sz="4" w:space="4" w:color="auto"/>
        </w:pBdr>
        <w:tabs>
          <w:tab w:val="left" w:pos="450"/>
        </w:tabs>
      </w:pPr>
      <w:r>
        <w:t xml:space="preserve">  </w:t>
      </w:r>
    </w:p>
    <w:p w14:paraId="0E49B9A4" w14:textId="77777777" w:rsidR="003C4942" w:rsidRDefault="003C4942" w:rsidP="009C7071">
      <w:pPr>
        <w:rPr>
          <w:lang w:val="en-GB" w:eastAsia="x-none"/>
        </w:rPr>
      </w:pPr>
    </w:p>
    <w:p w14:paraId="2C7B582F" w14:textId="04AF9E0F" w:rsidR="003C4942" w:rsidRDefault="003C4942" w:rsidP="003C4942">
      <w:pPr>
        <w:rPr>
          <w:lang w:val="en-GB" w:eastAsia="x-none"/>
        </w:rPr>
      </w:pPr>
      <w:r>
        <w:rPr>
          <w:lang w:val="en-GB" w:eastAsia="x-none"/>
        </w:rPr>
        <w:t>In this document, we discuss the motivation behind the SR and BSR enhancements and</w:t>
      </w:r>
      <w:r w:rsidR="00A401D3">
        <w:rPr>
          <w:lang w:val="en-GB" w:eastAsia="x-none"/>
        </w:rPr>
        <w:t xml:space="preserve"> details on</w:t>
      </w:r>
      <w:r>
        <w:rPr>
          <w:lang w:val="en-GB" w:eastAsia="x-none"/>
        </w:rPr>
        <w:t xml:space="preserve"> what level of information is desirable in SR and BSR considering the number of different services UEs are supporting.</w:t>
      </w:r>
      <w:r w:rsidR="00A401D3">
        <w:rPr>
          <w:lang w:val="en-GB" w:eastAsia="x-none"/>
        </w:rPr>
        <w:t xml:space="preserve"> We also discuss if a new BSR triggering condition is required for URLLC services.</w:t>
      </w:r>
    </w:p>
    <w:p w14:paraId="37CF7A29" w14:textId="77777777" w:rsidR="003F5E77" w:rsidRDefault="003F5E77" w:rsidP="003F5E77">
      <w:pPr>
        <w:pStyle w:val="Heading1"/>
        <w:rPr>
          <w:rFonts w:cs="Arial"/>
        </w:rPr>
      </w:pPr>
      <w:bookmarkStart w:id="3" w:name="Proposal_Pattern_Length"/>
      <w:r w:rsidRPr="00A66DAB">
        <w:rPr>
          <w:rFonts w:cs="Arial"/>
        </w:rPr>
        <w:t>Discussion</w:t>
      </w:r>
    </w:p>
    <w:p w14:paraId="46717CD7" w14:textId="77777777" w:rsidR="003F5E77" w:rsidRDefault="00FD62C8" w:rsidP="003F5E77">
      <w:pPr>
        <w:pStyle w:val="Heading2"/>
      </w:pPr>
      <w:r>
        <w:t>SR enhancement</w:t>
      </w:r>
    </w:p>
    <w:p w14:paraId="2518DA57" w14:textId="0F13948B" w:rsidR="004107FE" w:rsidRDefault="00D83BF2" w:rsidP="00D83BF2">
      <w:pPr>
        <w:rPr>
          <w:lang w:val="en-GB" w:eastAsia="x-none"/>
        </w:rPr>
      </w:pPr>
      <w:r>
        <w:rPr>
          <w:lang w:val="en-GB" w:eastAsia="x-none"/>
        </w:rPr>
        <w:t xml:space="preserve">In LTE, when a scheduling request (SR) is triggered, UE indicates </w:t>
      </w:r>
      <w:r w:rsidR="0065344E">
        <w:rPr>
          <w:lang w:val="en-GB" w:eastAsia="x-none"/>
        </w:rPr>
        <w:t xml:space="preserve">to </w:t>
      </w:r>
      <w:r>
        <w:rPr>
          <w:lang w:val="en-GB" w:eastAsia="x-none"/>
        </w:rPr>
        <w:t xml:space="preserve">the </w:t>
      </w:r>
      <w:proofErr w:type="spellStart"/>
      <w:r>
        <w:rPr>
          <w:lang w:val="en-GB" w:eastAsia="x-none"/>
        </w:rPr>
        <w:t>eNB</w:t>
      </w:r>
      <w:proofErr w:type="spellEnd"/>
      <w:r>
        <w:rPr>
          <w:lang w:val="en-GB" w:eastAsia="x-none"/>
        </w:rPr>
        <w:t xml:space="preserve"> that it has data to transmit in the buffer.</w:t>
      </w:r>
      <w:r w:rsidR="00195B12">
        <w:rPr>
          <w:lang w:val="en-GB" w:eastAsia="x-none"/>
        </w:rPr>
        <w:t xml:space="preserve"> </w:t>
      </w:r>
      <w:r w:rsidR="0012225E">
        <w:rPr>
          <w:lang w:val="en-GB" w:eastAsia="x-none"/>
        </w:rPr>
        <w:t>T</w:t>
      </w:r>
      <w:r w:rsidR="004353D0">
        <w:rPr>
          <w:lang w:val="en-GB" w:eastAsia="x-none"/>
        </w:rPr>
        <w:t xml:space="preserve">he </w:t>
      </w:r>
      <w:proofErr w:type="spellStart"/>
      <w:r w:rsidR="004353D0">
        <w:rPr>
          <w:lang w:val="en-GB" w:eastAsia="x-none"/>
        </w:rPr>
        <w:t>eNB</w:t>
      </w:r>
      <w:proofErr w:type="spellEnd"/>
      <w:r w:rsidR="004353D0">
        <w:rPr>
          <w:lang w:val="en-GB" w:eastAsia="x-none"/>
        </w:rPr>
        <w:t xml:space="preserve"> has no information whether the UE has large or small </w:t>
      </w:r>
      <w:r w:rsidR="004107FE">
        <w:rPr>
          <w:lang w:val="en-GB" w:eastAsia="x-none"/>
        </w:rPr>
        <w:t xml:space="preserve">amount of </w:t>
      </w:r>
      <w:r w:rsidR="004353D0">
        <w:rPr>
          <w:lang w:val="en-GB" w:eastAsia="x-none"/>
        </w:rPr>
        <w:t xml:space="preserve">data and also whether the UE has high priority data until the </w:t>
      </w:r>
      <w:proofErr w:type="spellStart"/>
      <w:r w:rsidR="004353D0">
        <w:rPr>
          <w:lang w:val="en-GB" w:eastAsia="x-none"/>
        </w:rPr>
        <w:t>eNB</w:t>
      </w:r>
      <w:proofErr w:type="spellEnd"/>
      <w:r w:rsidR="004353D0">
        <w:rPr>
          <w:lang w:val="en-GB" w:eastAsia="x-none"/>
        </w:rPr>
        <w:t xml:space="preserve"> receives </w:t>
      </w:r>
      <w:r w:rsidR="004107FE">
        <w:rPr>
          <w:lang w:val="en-GB" w:eastAsia="x-none"/>
        </w:rPr>
        <w:t xml:space="preserve">a </w:t>
      </w:r>
      <w:r w:rsidR="004353D0">
        <w:rPr>
          <w:lang w:val="en-GB" w:eastAsia="x-none"/>
        </w:rPr>
        <w:t xml:space="preserve">BSR. For delay sensitive use cases, it can be beneficial if the SR is enhanced to </w:t>
      </w:r>
      <w:r w:rsidR="0012225E">
        <w:rPr>
          <w:lang w:val="en-GB" w:eastAsia="x-none"/>
        </w:rPr>
        <w:t>carry</w:t>
      </w:r>
      <w:r w:rsidR="004353D0">
        <w:rPr>
          <w:lang w:val="en-GB" w:eastAsia="x-none"/>
        </w:rPr>
        <w:t xml:space="preserve"> more information </w:t>
      </w:r>
      <w:r w:rsidR="004107FE">
        <w:rPr>
          <w:lang w:val="en-GB" w:eastAsia="x-none"/>
        </w:rPr>
        <w:t xml:space="preserve">about the characteristic </w:t>
      </w:r>
      <w:r w:rsidR="004353D0">
        <w:rPr>
          <w:lang w:val="en-GB" w:eastAsia="x-none"/>
        </w:rPr>
        <w:t>of data being queued at the UE buffer. It is because UE might be able to</w:t>
      </w:r>
      <w:r w:rsidR="0012225E">
        <w:rPr>
          <w:lang w:val="en-GB" w:eastAsia="x-none"/>
        </w:rPr>
        <w:t xml:space="preserve"> get priority to get UL grant or get over-allocated grant to</w:t>
      </w:r>
      <w:r w:rsidR="004353D0">
        <w:rPr>
          <w:lang w:val="en-GB" w:eastAsia="x-none"/>
        </w:rPr>
        <w:t xml:space="preserve"> transmit all the data in without waiting for the next UL grant received based on</w:t>
      </w:r>
      <w:r w:rsidR="00195B12">
        <w:rPr>
          <w:lang w:val="en-GB" w:eastAsia="x-none"/>
        </w:rPr>
        <w:t xml:space="preserve"> BSR.</w:t>
      </w:r>
      <w:r w:rsidR="004E1B82">
        <w:rPr>
          <w:lang w:val="en-GB" w:eastAsia="x-none"/>
        </w:rPr>
        <w:t xml:space="preserve"> </w:t>
      </w:r>
      <w:r w:rsidR="0043017D">
        <w:rPr>
          <w:lang w:val="en-GB" w:eastAsia="x-none"/>
        </w:rPr>
        <w:t xml:space="preserve"> </w:t>
      </w:r>
    </w:p>
    <w:p w14:paraId="11D4B11C" w14:textId="51B69E00" w:rsidR="00406CC5" w:rsidRDefault="0043017D" w:rsidP="00D83BF2">
      <w:pPr>
        <w:rPr>
          <w:lang w:val="en-GB" w:eastAsia="x-none"/>
        </w:rPr>
      </w:pPr>
      <w:r>
        <w:rPr>
          <w:lang w:val="en-GB" w:eastAsia="x-none"/>
        </w:rPr>
        <w:t xml:space="preserve">NR </w:t>
      </w:r>
      <w:r w:rsidR="00E2095E">
        <w:rPr>
          <w:lang w:val="en-GB" w:eastAsia="x-none"/>
        </w:rPr>
        <w:t>will</w:t>
      </w:r>
      <w:r>
        <w:rPr>
          <w:lang w:val="en-GB" w:eastAsia="x-none"/>
        </w:rPr>
        <w:t xml:space="preserve"> support </w:t>
      </w:r>
      <w:r w:rsidR="003E6962">
        <w:rPr>
          <w:lang w:val="en-GB" w:eastAsia="x-none"/>
        </w:rPr>
        <w:t xml:space="preserve">a </w:t>
      </w:r>
      <w:r>
        <w:rPr>
          <w:lang w:val="en-GB" w:eastAsia="x-none"/>
        </w:rPr>
        <w:t xml:space="preserve">variety of services. Other than </w:t>
      </w:r>
      <w:proofErr w:type="spellStart"/>
      <w:r>
        <w:rPr>
          <w:lang w:val="en-GB" w:eastAsia="x-none"/>
        </w:rPr>
        <w:t>eMBB</w:t>
      </w:r>
      <w:proofErr w:type="spellEnd"/>
      <w:r>
        <w:rPr>
          <w:lang w:val="en-GB" w:eastAsia="x-none"/>
        </w:rPr>
        <w:t xml:space="preserve"> services, NR </w:t>
      </w:r>
      <w:r w:rsidR="004107FE">
        <w:rPr>
          <w:lang w:val="en-GB" w:eastAsia="x-none"/>
        </w:rPr>
        <w:t xml:space="preserve">also </w:t>
      </w:r>
      <w:r>
        <w:rPr>
          <w:lang w:val="en-GB" w:eastAsia="x-none"/>
        </w:rPr>
        <w:t xml:space="preserve">supports URLLC services which require ultra-low latency.  Even within </w:t>
      </w:r>
      <w:proofErr w:type="spellStart"/>
      <w:r>
        <w:rPr>
          <w:lang w:val="en-GB" w:eastAsia="x-none"/>
        </w:rPr>
        <w:t>eMBB</w:t>
      </w:r>
      <w:proofErr w:type="spellEnd"/>
      <w:r>
        <w:rPr>
          <w:lang w:val="en-GB" w:eastAsia="x-none"/>
        </w:rPr>
        <w:t xml:space="preserve"> services, there are services that are more delay stringent than the other and probably having higher priority.  There may also be some RRC/NAS signalling requir</w:t>
      </w:r>
      <w:r w:rsidR="00406CC5">
        <w:rPr>
          <w:lang w:val="en-GB" w:eastAsia="x-none"/>
        </w:rPr>
        <w:t>ing</w:t>
      </w:r>
      <w:r>
        <w:rPr>
          <w:lang w:val="en-GB" w:eastAsia="x-none"/>
        </w:rPr>
        <w:t xml:space="preserve"> high</w:t>
      </w:r>
      <w:r w:rsidR="00406CC5">
        <w:rPr>
          <w:lang w:val="en-GB" w:eastAsia="x-none"/>
        </w:rPr>
        <w:t>er</w:t>
      </w:r>
      <w:r>
        <w:rPr>
          <w:lang w:val="en-GB" w:eastAsia="x-none"/>
        </w:rPr>
        <w:t xml:space="preserve"> priority than normal data transmission from other UEs. Hence it is beneficial for the </w:t>
      </w:r>
      <w:proofErr w:type="spellStart"/>
      <w:r w:rsidR="00455BC6">
        <w:rPr>
          <w:lang w:val="en-GB" w:eastAsia="x-none"/>
        </w:rPr>
        <w:t>g</w:t>
      </w:r>
      <w:r>
        <w:rPr>
          <w:lang w:val="en-GB" w:eastAsia="x-none"/>
        </w:rPr>
        <w:t>NB</w:t>
      </w:r>
      <w:proofErr w:type="spellEnd"/>
      <w:r>
        <w:rPr>
          <w:lang w:val="en-GB" w:eastAsia="x-none"/>
        </w:rPr>
        <w:t xml:space="preserve"> scheduler to know the priority of the SR</w:t>
      </w:r>
      <w:r w:rsidR="009A7058">
        <w:rPr>
          <w:lang w:val="en-GB" w:eastAsia="x-none"/>
        </w:rPr>
        <w:t xml:space="preserve"> to allow the </w:t>
      </w:r>
      <w:proofErr w:type="spellStart"/>
      <w:r w:rsidR="00455BC6">
        <w:rPr>
          <w:lang w:val="en-GB" w:eastAsia="x-none"/>
        </w:rPr>
        <w:t>g</w:t>
      </w:r>
      <w:r w:rsidR="009A7058">
        <w:rPr>
          <w:lang w:val="en-GB" w:eastAsia="x-none"/>
        </w:rPr>
        <w:t>NB</w:t>
      </w:r>
      <w:proofErr w:type="spellEnd"/>
      <w:r w:rsidR="009A7058">
        <w:rPr>
          <w:lang w:val="en-GB" w:eastAsia="x-none"/>
        </w:rPr>
        <w:t xml:space="preserve"> to prioritise the UL resources among the UEs. </w:t>
      </w:r>
    </w:p>
    <w:p w14:paraId="53C6BF5E" w14:textId="0D7453DB" w:rsidR="00406CC5" w:rsidRDefault="00406CC5" w:rsidP="00406CC5">
      <w:pPr>
        <w:pStyle w:val="Observationstyle"/>
      </w:pPr>
      <w:bookmarkStart w:id="4" w:name="_Toc473910656"/>
      <w:bookmarkStart w:id="5" w:name="_Toc473910737"/>
      <w:bookmarkStart w:id="6" w:name="_Toc473926537"/>
      <w:bookmarkStart w:id="7" w:name="_Toc473927458"/>
      <w:bookmarkStart w:id="8" w:name="_Toc473927643"/>
      <w:bookmarkStart w:id="9" w:name="_Toc473928455"/>
      <w:bookmarkStart w:id="10" w:name="_Toc473928703"/>
      <w:bookmarkStart w:id="11" w:name="_Toc477684816"/>
      <w:bookmarkStart w:id="12" w:name="_Toc478032661"/>
      <w:bookmarkStart w:id="13" w:name="_Toc478033474"/>
      <w:bookmarkStart w:id="14" w:name="_Toc478116617"/>
      <w:bookmarkStart w:id="15" w:name="_Toc478158681"/>
      <w:bookmarkStart w:id="16" w:name="_Toc478160173"/>
      <w:bookmarkStart w:id="17" w:name="_Toc481162365"/>
      <w:bookmarkStart w:id="18" w:name="_Toc481162460"/>
      <w:bookmarkStart w:id="19" w:name="_Toc481398519"/>
      <w:bookmarkStart w:id="20" w:name="_Toc481399539"/>
      <w:bookmarkStart w:id="21" w:name="_Toc481408631"/>
      <w:bookmarkStart w:id="22" w:name="_Toc481784848"/>
      <w:bookmarkStart w:id="23" w:name="_Toc481790186"/>
      <w:r>
        <w:t>Due to the variety of services (</w:t>
      </w:r>
      <w:proofErr w:type="spellStart"/>
      <w:r>
        <w:t>eMBB</w:t>
      </w:r>
      <w:proofErr w:type="spellEnd"/>
      <w:r>
        <w:t xml:space="preserve">, URLLC etc.) supported by NR, it is beneficial for the </w:t>
      </w:r>
      <w:proofErr w:type="spellStart"/>
      <w:r>
        <w:t>eNB</w:t>
      </w:r>
      <w:proofErr w:type="spellEnd"/>
      <w:r>
        <w:t xml:space="preserve"> scheduler to know the priority of the SR </w:t>
      </w:r>
      <w:r w:rsidR="00C537EE">
        <w:t>which</w:t>
      </w:r>
      <w:r w:rsidRPr="00406CC5">
        <w:t xml:space="preserve"> allow</w:t>
      </w:r>
      <w:r w:rsidR="00C537EE">
        <w:t xml:space="preserve">s the </w:t>
      </w:r>
      <w:proofErr w:type="spellStart"/>
      <w:r w:rsidR="00C537EE">
        <w:t>g</w:t>
      </w:r>
      <w:r w:rsidRPr="00406CC5">
        <w:t>NB</w:t>
      </w:r>
      <w:proofErr w:type="spellEnd"/>
      <w:r w:rsidRPr="00406CC5">
        <w:t xml:space="preserve"> to </w:t>
      </w:r>
      <w:r w:rsidR="00CB689F" w:rsidRPr="00406CC5">
        <w:t>prioriti</w:t>
      </w:r>
      <w:r w:rsidR="00CB689F">
        <w:t>ze</w:t>
      </w:r>
      <w:r w:rsidRPr="00406CC5">
        <w:t xml:space="preserve"> UL resources among the 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406CC5">
        <w:t xml:space="preserve"> </w:t>
      </w:r>
    </w:p>
    <w:p w14:paraId="0D4BA210" w14:textId="47EB2D78" w:rsidR="0015325E" w:rsidRPr="00DB429D" w:rsidRDefault="00C25FBE" w:rsidP="0015325E">
      <w:r w:rsidRPr="00DB429D">
        <w:lastRenderedPageBreak/>
        <w:t>Based on the last RAN2 agreement [</w:t>
      </w:r>
      <w:r w:rsidR="0084166D" w:rsidRPr="00DB429D">
        <w:t>1</w:t>
      </w:r>
      <w:r w:rsidRPr="00DB429D">
        <w:t xml:space="preserve">], numerology/TTI length of the logical channel that triggered the SR can be </w:t>
      </w:r>
      <w:r w:rsidR="00387A79" w:rsidRPr="00DB429D">
        <w:t xml:space="preserve">indicated </w:t>
      </w:r>
      <w:r w:rsidRPr="00DB429D">
        <w:t xml:space="preserve">in the enhanced SR. However, to </w:t>
      </w:r>
      <w:r w:rsidR="00252C5C" w:rsidRPr="00DB429D">
        <w:t>minimize the amount of information carried by SR,</w:t>
      </w:r>
      <w:r w:rsidRPr="00DB429D">
        <w:t xml:space="preserve"> </w:t>
      </w:r>
      <w:r w:rsidR="00787CF3" w:rsidRPr="00DB429D">
        <w:t xml:space="preserve">the enhanced SR can indicate the </w:t>
      </w:r>
      <w:r w:rsidRPr="00DB429D">
        <w:t xml:space="preserve">information required for </w:t>
      </w:r>
      <w:proofErr w:type="spellStart"/>
      <w:r w:rsidRPr="00DB429D">
        <w:t>gNB</w:t>
      </w:r>
      <w:proofErr w:type="spellEnd"/>
      <w:r w:rsidRPr="00DB429D">
        <w:t xml:space="preserve"> to distinguish at least the logical channel group</w:t>
      </w:r>
      <w:r w:rsidR="000235D3" w:rsidRPr="00DB429D">
        <w:t xml:space="preserve"> (LCG) of a logical channel (LCH) that</w:t>
      </w:r>
      <w:r w:rsidRPr="00DB429D">
        <w:t xml:space="preserve"> triggered the SR.</w:t>
      </w:r>
      <w:r w:rsidR="00760451" w:rsidRPr="00DB429D">
        <w:t xml:space="preserve"> For example, SR can just indicate the higher priority or lower priority LCG which would require </w:t>
      </w:r>
      <w:r w:rsidR="004748EF" w:rsidRPr="00DB429D">
        <w:t>1 bit</w:t>
      </w:r>
      <w:r w:rsidR="00760451" w:rsidRPr="00DB429D">
        <w:t xml:space="preserve"> in SR or </w:t>
      </w:r>
      <w:r w:rsidR="004748EF" w:rsidRPr="00DB429D">
        <w:t>two</w:t>
      </w:r>
      <w:r w:rsidR="00760451" w:rsidRPr="00DB429D">
        <w:t xml:space="preserve"> SR configurations</w:t>
      </w:r>
      <w:r w:rsidR="004748EF" w:rsidRPr="00DB429D">
        <w:t xml:space="preserve">. </w:t>
      </w:r>
    </w:p>
    <w:p w14:paraId="2AFDBA34" w14:textId="243C2D29" w:rsidR="00C25FBE" w:rsidRPr="00DB429D" w:rsidRDefault="00787CF3" w:rsidP="00C25FBE">
      <w:pPr>
        <w:pStyle w:val="Observationstyle"/>
      </w:pPr>
      <w:bookmarkStart w:id="24" w:name="_Toc481162366"/>
      <w:bookmarkStart w:id="25" w:name="_Toc481162461"/>
      <w:bookmarkStart w:id="26" w:name="_Toc481398520"/>
      <w:bookmarkStart w:id="27" w:name="_Toc481399540"/>
      <w:bookmarkStart w:id="28" w:name="_Toc481408632"/>
      <w:bookmarkStart w:id="29" w:name="_Toc481784849"/>
      <w:bookmarkStart w:id="30" w:name="_Toc481790187"/>
      <w:r w:rsidRPr="00DB429D">
        <w:t>T</w:t>
      </w:r>
      <w:r w:rsidR="00C25FBE" w:rsidRPr="00DB429D">
        <w:t xml:space="preserve">he enhanced SR </w:t>
      </w:r>
      <w:r w:rsidR="005D16B4" w:rsidRPr="00DB429D">
        <w:t>could</w:t>
      </w:r>
      <w:r w:rsidR="00C25FBE" w:rsidRPr="00DB429D">
        <w:t xml:space="preserve"> carry information required for </w:t>
      </w:r>
      <w:proofErr w:type="spellStart"/>
      <w:r w:rsidR="00C25FBE" w:rsidRPr="00DB429D">
        <w:t>gNB</w:t>
      </w:r>
      <w:proofErr w:type="spellEnd"/>
      <w:r w:rsidR="00C25FBE" w:rsidRPr="00DB429D">
        <w:t xml:space="preserve"> to distinguish at least</w:t>
      </w:r>
      <w:r w:rsidR="000235D3" w:rsidRPr="00DB429D">
        <w:t xml:space="preserve"> the LCG of a LCH that</w:t>
      </w:r>
      <w:r w:rsidR="00C25FBE" w:rsidRPr="00DB429D">
        <w:t xml:space="preserve"> triggered the SR.</w:t>
      </w:r>
      <w:bookmarkEnd w:id="24"/>
      <w:bookmarkEnd w:id="25"/>
      <w:bookmarkEnd w:id="26"/>
      <w:bookmarkEnd w:id="27"/>
      <w:bookmarkEnd w:id="28"/>
      <w:bookmarkEnd w:id="29"/>
      <w:bookmarkEnd w:id="30"/>
    </w:p>
    <w:p w14:paraId="5894A73B" w14:textId="02B7FE77" w:rsidR="00C25FBE" w:rsidRPr="00DB429D" w:rsidRDefault="000235D3" w:rsidP="00C25FBE">
      <w:r w:rsidRPr="00DB429D">
        <w:t>The information</w:t>
      </w:r>
      <w:r w:rsidR="00CB7477" w:rsidRPr="00DB429D">
        <w:t xml:space="preserve"> carried by the enhanced SR</w:t>
      </w:r>
      <w:r w:rsidRPr="00DB429D">
        <w:t xml:space="preserve"> can be </w:t>
      </w:r>
      <w:r w:rsidR="005D16B4" w:rsidRPr="00DB429D">
        <w:t>implied by</w:t>
      </w:r>
      <w:r w:rsidRPr="00DB429D">
        <w:t xml:space="preserve"> a resource exclusively allocated to transmit the SR </w:t>
      </w:r>
      <w:r w:rsidR="007F610C" w:rsidRPr="00DB429D">
        <w:t xml:space="preserve">triggered by </w:t>
      </w:r>
      <w:r w:rsidRPr="00DB429D">
        <w:t>a LCH belonging to a LCG</w:t>
      </w:r>
      <w:r w:rsidR="00CB7477" w:rsidRPr="00DB429D">
        <w:t xml:space="preserve">. For this purpose, multi-bit SR can also be considered to transmit the information as payload. </w:t>
      </w:r>
      <w:r w:rsidR="004748EF" w:rsidRPr="00DB429D">
        <w:t>Depending on network configuration (</w:t>
      </w:r>
      <w:proofErr w:type="spellStart"/>
      <w:r w:rsidR="004748EF" w:rsidRPr="00DB429D">
        <w:t>i.e</w:t>
      </w:r>
      <w:proofErr w:type="spellEnd"/>
      <w:r w:rsidR="004748EF" w:rsidRPr="00DB429D">
        <w:t xml:space="preserve"> how LCHs are associated to the LCGs)</w:t>
      </w:r>
      <w:r w:rsidR="0046592C" w:rsidRPr="00DB429D">
        <w:t>,</w:t>
      </w:r>
      <w:r w:rsidR="004748EF" w:rsidRPr="00DB429D">
        <w:t xml:space="preserve"> it is possible for the LCG to be</w:t>
      </w:r>
      <w:r w:rsidR="0046592C" w:rsidRPr="00DB429D">
        <w:t xml:space="preserve"> used to imply a numerology/TTI</w:t>
      </w:r>
      <w:r w:rsidR="002E0215" w:rsidRPr="00DB429D">
        <w:t xml:space="preserve">. Hence </w:t>
      </w:r>
      <w:proofErr w:type="spellStart"/>
      <w:r w:rsidR="008F279B" w:rsidRPr="00DB429D">
        <w:t>gNB</w:t>
      </w:r>
      <w:proofErr w:type="spellEnd"/>
      <w:r w:rsidR="008F279B" w:rsidRPr="00DB429D">
        <w:t xml:space="preserve"> </w:t>
      </w:r>
      <w:r w:rsidR="002E0215" w:rsidRPr="00DB429D">
        <w:t>also becomes aware of the numerology/TTI associated to the LCH</w:t>
      </w:r>
      <w:r w:rsidR="004748EF" w:rsidRPr="00DB429D">
        <w:t xml:space="preserve"> that triggered the SR</w:t>
      </w:r>
      <w:r w:rsidRPr="00DB429D">
        <w:t>.</w:t>
      </w:r>
    </w:p>
    <w:p w14:paraId="62F1B325" w14:textId="427F6BCC" w:rsidR="00CB7477" w:rsidRPr="00DB429D" w:rsidRDefault="00CB7477" w:rsidP="00CB7477">
      <w:pPr>
        <w:pStyle w:val="Recommend-1"/>
      </w:pPr>
      <w:bookmarkStart w:id="31" w:name="_Toc481162377"/>
      <w:bookmarkStart w:id="32" w:name="_Toc481162472"/>
      <w:bookmarkStart w:id="33" w:name="_Toc481398531"/>
      <w:bookmarkStart w:id="34" w:name="_Toc481399551"/>
      <w:bookmarkStart w:id="35" w:name="_Toc481408643"/>
      <w:bookmarkStart w:id="36" w:name="_Toc481784857"/>
      <w:bookmarkStart w:id="37" w:name="_Toc481790195"/>
      <w:r w:rsidRPr="00DB429D">
        <w:t xml:space="preserve">An enhanced SR distinguishes </w:t>
      </w:r>
      <w:r w:rsidR="008E53FA" w:rsidRPr="00DB429D">
        <w:t>the</w:t>
      </w:r>
      <w:r w:rsidRPr="00DB429D">
        <w:t xml:space="preserve"> LCG of a LCH that triggered the SR</w:t>
      </w:r>
      <w:r w:rsidR="008E53FA" w:rsidRPr="00DB429D">
        <w:t xml:space="preserve"> to imply numerology/TTI or high/low priority of the LCH</w:t>
      </w:r>
      <w:r w:rsidRPr="00DB429D">
        <w:t>.</w:t>
      </w:r>
      <w:bookmarkEnd w:id="31"/>
      <w:bookmarkEnd w:id="32"/>
      <w:bookmarkEnd w:id="33"/>
      <w:bookmarkEnd w:id="34"/>
      <w:bookmarkEnd w:id="35"/>
      <w:bookmarkEnd w:id="36"/>
      <w:bookmarkEnd w:id="37"/>
    </w:p>
    <w:p w14:paraId="545CB57A" w14:textId="6413058A" w:rsidR="006F3CA2" w:rsidRDefault="007F610C" w:rsidP="000314A6">
      <w:pPr>
        <w:pStyle w:val="Heading3Style"/>
      </w:pPr>
      <w:bookmarkStart w:id="38" w:name="_Toc478131478"/>
      <w:bookmarkStart w:id="39" w:name="_Toc478158690"/>
      <w:bookmarkStart w:id="40" w:name="_Toc478131479"/>
      <w:bookmarkStart w:id="41" w:name="_Toc478158691"/>
      <w:bookmarkEnd w:id="38"/>
      <w:bookmarkEnd w:id="39"/>
      <w:bookmarkEnd w:id="40"/>
      <w:bookmarkEnd w:id="41"/>
      <w:r>
        <w:t>Multiple SR configurations</w:t>
      </w:r>
    </w:p>
    <w:p w14:paraId="1ED1CFE5" w14:textId="5594E5DB" w:rsidR="006F3CA2" w:rsidRDefault="00165246" w:rsidP="006E7F24">
      <w:r>
        <w:t xml:space="preserve">As discussed, SR can be used to indicate the </w:t>
      </w:r>
      <w:proofErr w:type="spellStart"/>
      <w:r w:rsidR="006800F3">
        <w:t>g</w:t>
      </w:r>
      <w:r>
        <w:t>NB</w:t>
      </w:r>
      <w:proofErr w:type="spellEnd"/>
      <w:r>
        <w:t xml:space="preserve"> </w:t>
      </w:r>
      <w:r w:rsidR="008E53FA">
        <w:t>to differentiate th</w:t>
      </w:r>
      <w:r w:rsidR="006800F3">
        <w:t>at</w:t>
      </w:r>
      <w:r>
        <w:t xml:space="preserve"> grant</w:t>
      </w:r>
      <w:r w:rsidR="006800F3">
        <w:t xml:space="preserve"> is</w:t>
      </w:r>
      <w:r>
        <w:t xml:space="preserve"> being requested for a </w:t>
      </w:r>
      <w:r w:rsidR="008E53FA">
        <w:t>high/low priority LCH</w:t>
      </w:r>
      <w:r>
        <w:t xml:space="preserve">. However, the design depends on how many levels of differentiation is required. As higher number of differentiation would not be </w:t>
      </w:r>
      <w:r w:rsidR="006800F3">
        <w:t>desirable due to resource inefficiency</w:t>
      </w:r>
      <w:r>
        <w:t>, 2 levels</w:t>
      </w:r>
      <w:r w:rsidR="00F3552B">
        <w:t xml:space="preserve"> or 3 levels</w:t>
      </w:r>
      <w:r>
        <w:t xml:space="preserve"> or 4 levels of differentiation can be considered.</w:t>
      </w:r>
      <w:r w:rsidR="00A71FE3">
        <w:t xml:space="preserve"> </w:t>
      </w:r>
      <w:r w:rsidR="006800F3">
        <w:t>For example, for 4 levels of differentiation, 4 LCGs can be indicated</w:t>
      </w:r>
      <w:r w:rsidR="00F3552B">
        <w:t xml:space="preserve"> and for 3</w:t>
      </w:r>
      <w:r w:rsidR="00AB38F1">
        <w:t xml:space="preserve"> levels, </w:t>
      </w:r>
      <w:r w:rsidR="00F3552B">
        <w:t>3 LCGs belonging to URLLC, RRC signaling and others</w:t>
      </w:r>
      <w:r w:rsidR="00AB38F1">
        <w:t xml:space="preserve"> can be indicated</w:t>
      </w:r>
      <w:r w:rsidR="006800F3">
        <w:t>.</w:t>
      </w:r>
    </w:p>
    <w:p w14:paraId="21D1F730" w14:textId="4001D934" w:rsidR="00165246" w:rsidRDefault="00165246" w:rsidP="00165246">
      <w:pPr>
        <w:pStyle w:val="Observationstyle"/>
      </w:pPr>
      <w:bookmarkStart w:id="42" w:name="_Toc478032665"/>
      <w:bookmarkStart w:id="43" w:name="_Toc478033478"/>
      <w:bookmarkStart w:id="44" w:name="_Toc478116621"/>
      <w:bookmarkStart w:id="45" w:name="_Toc478158684"/>
      <w:bookmarkStart w:id="46" w:name="_Toc478160176"/>
      <w:bookmarkStart w:id="47" w:name="_Toc481162369"/>
      <w:bookmarkStart w:id="48" w:name="_Toc481162464"/>
      <w:bookmarkStart w:id="49" w:name="_Toc481398523"/>
      <w:bookmarkStart w:id="50" w:name="_Toc481399543"/>
      <w:bookmarkStart w:id="51" w:name="_Toc481408635"/>
      <w:bookmarkStart w:id="52" w:name="_Toc481784850"/>
      <w:bookmarkStart w:id="53" w:name="_Toc481790188"/>
      <w:r>
        <w:t xml:space="preserve">2 </w:t>
      </w:r>
      <w:r w:rsidR="00F3552B">
        <w:t>to</w:t>
      </w:r>
      <w:r>
        <w:t xml:space="preserve"> 4 levels of differentiation can be considered</w:t>
      </w:r>
      <w:r w:rsidR="00AB38F1">
        <w:t xml:space="preserve"> in SR</w:t>
      </w:r>
      <w:r>
        <w:t>.</w:t>
      </w:r>
      <w:bookmarkEnd w:id="42"/>
      <w:bookmarkEnd w:id="43"/>
      <w:bookmarkEnd w:id="44"/>
      <w:bookmarkEnd w:id="45"/>
      <w:bookmarkEnd w:id="46"/>
      <w:bookmarkEnd w:id="47"/>
      <w:bookmarkEnd w:id="48"/>
      <w:bookmarkEnd w:id="49"/>
      <w:bookmarkEnd w:id="50"/>
      <w:bookmarkEnd w:id="51"/>
      <w:bookmarkEnd w:id="52"/>
      <w:bookmarkEnd w:id="53"/>
    </w:p>
    <w:p w14:paraId="27A96A63" w14:textId="21F6807A" w:rsidR="006F3CA2" w:rsidRDefault="00165246" w:rsidP="006E7F24">
      <w:r>
        <w:t>To achieve the differentiation, we can consider following options.</w:t>
      </w:r>
    </w:p>
    <w:p w14:paraId="49DF8ED7" w14:textId="73B66943" w:rsidR="00165246" w:rsidRDefault="00165246" w:rsidP="006E7F24">
      <w:r w:rsidRPr="003D2B70">
        <w:rPr>
          <w:b/>
        </w:rPr>
        <w:t>Option</w:t>
      </w:r>
      <w:r w:rsidR="00F32077" w:rsidRPr="003D2B70">
        <w:rPr>
          <w:b/>
        </w:rPr>
        <w:t xml:space="preserve"> </w:t>
      </w:r>
      <w:r w:rsidRPr="003D2B70">
        <w:rPr>
          <w:b/>
        </w:rPr>
        <w:t xml:space="preserve">#A </w:t>
      </w:r>
      <w:r w:rsidR="0086760C" w:rsidRPr="003D2B70">
        <w:rPr>
          <w:b/>
        </w:rPr>
        <w:t>Multiple SR configurations</w:t>
      </w:r>
      <w:r w:rsidR="0048392F">
        <w:rPr>
          <w:b/>
        </w:rPr>
        <w:t xml:space="preserve"> for LCG indication</w:t>
      </w:r>
      <w:r w:rsidR="005415E0">
        <w:t>: Each resource configuration</w:t>
      </w:r>
      <w:r w:rsidR="00E11369">
        <w:t xml:space="preserve"> (time and frequency)</w:t>
      </w:r>
      <w:r w:rsidR="005415E0">
        <w:t xml:space="preserve"> belongs to a LCG.</w:t>
      </w:r>
      <w:r w:rsidR="0086760C">
        <w:t xml:space="preserve"> </w:t>
      </w:r>
    </w:p>
    <w:p w14:paraId="4C6D73CA" w14:textId="2C312071" w:rsidR="00165246" w:rsidRDefault="00165246" w:rsidP="006E7F24">
      <w:r w:rsidRPr="003D2B70">
        <w:rPr>
          <w:b/>
        </w:rPr>
        <w:t>Option</w:t>
      </w:r>
      <w:r w:rsidR="00F32077" w:rsidRPr="003D2B70">
        <w:rPr>
          <w:b/>
        </w:rPr>
        <w:t xml:space="preserve"> </w:t>
      </w:r>
      <w:r w:rsidRPr="003D2B70">
        <w:rPr>
          <w:b/>
        </w:rPr>
        <w:t xml:space="preserve">#B </w:t>
      </w:r>
      <w:r w:rsidR="003A218E" w:rsidRPr="003D2B70">
        <w:rPr>
          <w:b/>
        </w:rPr>
        <w:t>multi-bit</w:t>
      </w:r>
      <w:r w:rsidR="00A71FE3" w:rsidRPr="003D2B70">
        <w:rPr>
          <w:b/>
        </w:rPr>
        <w:t xml:space="preserve"> SR</w:t>
      </w:r>
      <w:r w:rsidR="0048392F">
        <w:rPr>
          <w:b/>
        </w:rPr>
        <w:t xml:space="preserve"> for LCG indication</w:t>
      </w:r>
      <w:r w:rsidR="005415E0" w:rsidRPr="003D2B70">
        <w:rPr>
          <w:b/>
        </w:rPr>
        <w:t>:</w:t>
      </w:r>
      <w:r w:rsidR="005415E0">
        <w:t xml:space="preserve"> The payload carries the information of LCG.</w:t>
      </w:r>
    </w:p>
    <w:p w14:paraId="5D167E49" w14:textId="39415199" w:rsidR="00A71FE3" w:rsidRDefault="00A71FE3" w:rsidP="006E7F24">
      <w:r>
        <w:t xml:space="preserve">In terms of resource </w:t>
      </w:r>
      <w:r w:rsidR="00F32077">
        <w:t>efficiency</w:t>
      </w:r>
      <w:r>
        <w:t>, option</w:t>
      </w:r>
      <w:r w:rsidR="00AA5C22">
        <w:t xml:space="preserve"> </w:t>
      </w:r>
      <w:r>
        <w:t xml:space="preserve">#B may be </w:t>
      </w:r>
      <w:r w:rsidR="00F32077">
        <w:t xml:space="preserve">less efficient </w:t>
      </w:r>
      <w:r>
        <w:t xml:space="preserve">as most likely the </w:t>
      </w:r>
      <w:r w:rsidR="00AA5C22">
        <w:t xml:space="preserve">short </w:t>
      </w:r>
      <w:r>
        <w:t xml:space="preserve">SR periodicity </w:t>
      </w:r>
      <w:r w:rsidR="00AA5C22">
        <w:t>should be</w:t>
      </w:r>
      <w:r>
        <w:t xml:space="preserve"> configured </w:t>
      </w:r>
      <w:r w:rsidR="00AA5C22">
        <w:t xml:space="preserve">if the SR is used for </w:t>
      </w:r>
      <w:r>
        <w:t>high priority or low latency services</w:t>
      </w:r>
      <w:r w:rsidR="00AA5C22">
        <w:t xml:space="preserve"> as well as delay tolerant services</w:t>
      </w:r>
      <w:r>
        <w:t>.</w:t>
      </w:r>
      <w:r w:rsidR="00E11369">
        <w:t xml:space="preserve"> It is not preferred if UE is supporting at least </w:t>
      </w:r>
      <w:proofErr w:type="spellStart"/>
      <w:r w:rsidR="00E11369">
        <w:t>eMBB</w:t>
      </w:r>
      <w:proofErr w:type="spellEnd"/>
      <w:r w:rsidR="00E11369">
        <w:t xml:space="preserve"> services.</w:t>
      </w:r>
      <w:r>
        <w:t xml:space="preserve"> In option</w:t>
      </w:r>
      <w:r w:rsidR="00F32077">
        <w:t xml:space="preserve"> </w:t>
      </w:r>
      <w:r>
        <w:t xml:space="preserve">#A, </w:t>
      </w:r>
      <w:r w:rsidR="00AA5C22">
        <w:t xml:space="preserve">a very </w:t>
      </w:r>
      <w:r>
        <w:t>short periodicity</w:t>
      </w:r>
      <w:r w:rsidR="00AA5C22">
        <w:t xml:space="preserve"> can be configured for the low latency service, while a long periodicity can be configured for the delay tolerant service</w:t>
      </w:r>
      <w:r>
        <w:t>.</w:t>
      </w:r>
      <w:r w:rsidR="00FB1CF3">
        <w:t xml:space="preserve"> </w:t>
      </w:r>
      <w:r>
        <w:t>Also, the legacy on/off SR mechanism provides the highest level of robustness to the channel conditions.</w:t>
      </w:r>
      <w:r w:rsidR="001D0DFD">
        <w:t xml:space="preserve"> </w:t>
      </w:r>
    </w:p>
    <w:p w14:paraId="6C8A0E95" w14:textId="00A5D878" w:rsidR="001D0DFD" w:rsidRDefault="00FB1CF3" w:rsidP="001D0DFD">
      <w:pPr>
        <w:pStyle w:val="Observationstyle"/>
      </w:pPr>
      <w:bookmarkStart w:id="54" w:name="_Toc478032666"/>
      <w:bookmarkStart w:id="55" w:name="_Toc478033479"/>
      <w:bookmarkStart w:id="56" w:name="_Toc478116622"/>
      <w:bookmarkStart w:id="57" w:name="_Toc478158685"/>
      <w:bookmarkStart w:id="58" w:name="_Toc478160177"/>
      <w:bookmarkStart w:id="59" w:name="_Toc481162370"/>
      <w:bookmarkStart w:id="60" w:name="_Toc481162465"/>
      <w:bookmarkStart w:id="61" w:name="_Toc481398524"/>
      <w:bookmarkStart w:id="62" w:name="_Toc481399544"/>
      <w:bookmarkStart w:id="63" w:name="_Toc481408636"/>
      <w:bookmarkStart w:id="64" w:name="_Toc481784851"/>
      <w:bookmarkStart w:id="65" w:name="_Toc481790189"/>
      <w:r>
        <w:t xml:space="preserve">In terms of resource efficiency and </w:t>
      </w:r>
      <w:r w:rsidR="00D75CF8">
        <w:t>reliability</w:t>
      </w:r>
      <w:r>
        <w:t xml:space="preserve">, </w:t>
      </w:r>
      <w:r w:rsidR="00D75CF8">
        <w:t>multiple SR configuration</w:t>
      </w:r>
      <w:r w:rsidR="001C4272">
        <w:t xml:space="preserve"> is better than multi</w:t>
      </w:r>
      <w:r>
        <w:t xml:space="preserve">-bit SR for </w:t>
      </w:r>
      <w:r w:rsidR="00283BAF">
        <w:t xml:space="preserve">LCG </w:t>
      </w:r>
      <w:r w:rsidR="00DC77EB">
        <w:t>indication</w:t>
      </w:r>
      <w:r w:rsidR="00E11369">
        <w:t xml:space="preserve"> when a UE supports at least </w:t>
      </w:r>
      <w:proofErr w:type="spellStart"/>
      <w:r w:rsidR="00E11369">
        <w:t>eMBB</w:t>
      </w:r>
      <w:proofErr w:type="spellEnd"/>
      <w:r w:rsidR="00E11369">
        <w:t xml:space="preserve"> services</w:t>
      </w:r>
      <w:r w:rsidR="001D0DFD">
        <w:t>.</w:t>
      </w:r>
      <w:bookmarkEnd w:id="54"/>
      <w:bookmarkEnd w:id="55"/>
      <w:bookmarkEnd w:id="56"/>
      <w:bookmarkEnd w:id="57"/>
      <w:bookmarkEnd w:id="58"/>
      <w:bookmarkEnd w:id="59"/>
      <w:bookmarkEnd w:id="60"/>
      <w:bookmarkEnd w:id="61"/>
      <w:bookmarkEnd w:id="62"/>
      <w:bookmarkEnd w:id="63"/>
      <w:bookmarkEnd w:id="64"/>
      <w:bookmarkEnd w:id="65"/>
    </w:p>
    <w:p w14:paraId="4572E072" w14:textId="510CE680" w:rsidR="00165246" w:rsidRPr="00DB429D" w:rsidRDefault="00EC1DFF" w:rsidP="00A71FE3">
      <w:pPr>
        <w:pStyle w:val="Recommend-1"/>
      </w:pPr>
      <w:bookmarkStart w:id="66" w:name="_Toc478032672"/>
      <w:bookmarkStart w:id="67" w:name="_Toc478033010"/>
      <w:bookmarkStart w:id="68" w:name="_Toc478033091"/>
      <w:bookmarkStart w:id="69" w:name="_Toc478033485"/>
      <w:bookmarkStart w:id="70" w:name="_Toc478116628"/>
      <w:bookmarkStart w:id="71" w:name="_Toc478156358"/>
      <w:bookmarkStart w:id="72" w:name="_Toc478131481"/>
      <w:bookmarkStart w:id="73" w:name="_Toc478158693"/>
      <w:bookmarkStart w:id="74" w:name="_Toc478160183"/>
      <w:bookmarkStart w:id="75" w:name="_Toc481162379"/>
      <w:bookmarkStart w:id="76" w:name="_Toc481162474"/>
      <w:bookmarkStart w:id="77" w:name="_Toc481398533"/>
      <w:bookmarkStart w:id="78" w:name="_Toc481399553"/>
      <w:bookmarkStart w:id="79" w:name="_Toc481408645"/>
      <w:bookmarkStart w:id="80" w:name="_Toc481784858"/>
      <w:bookmarkStart w:id="81" w:name="_Toc481790196"/>
      <w:r w:rsidRPr="00DB429D">
        <w:t xml:space="preserve">Multiple </w:t>
      </w:r>
      <w:r w:rsidR="00A71FE3" w:rsidRPr="00DB429D">
        <w:t>SR configuration</w:t>
      </w:r>
      <w:r w:rsidR="0086760C" w:rsidRPr="00DB429D">
        <w:t>(s)</w:t>
      </w:r>
      <w:r w:rsidR="00A71FE3" w:rsidRPr="00DB429D">
        <w:t xml:space="preserve"> is considered to achieve the SR </w:t>
      </w:r>
      <w:r w:rsidR="00AB38F1" w:rsidRPr="00DB429D">
        <w:t>enhancement</w:t>
      </w:r>
      <w:r w:rsidR="00A71FE3" w:rsidRPr="00DB429D">
        <w:t>.</w:t>
      </w:r>
      <w:bookmarkEnd w:id="66"/>
      <w:bookmarkEnd w:id="67"/>
      <w:bookmarkEnd w:id="68"/>
      <w:bookmarkEnd w:id="69"/>
      <w:bookmarkEnd w:id="70"/>
      <w:bookmarkEnd w:id="71"/>
      <w:bookmarkEnd w:id="72"/>
      <w:bookmarkEnd w:id="73"/>
      <w:bookmarkEnd w:id="74"/>
      <w:bookmarkEnd w:id="75"/>
      <w:bookmarkEnd w:id="76"/>
      <w:r w:rsidR="0010142B" w:rsidRPr="00DB429D">
        <w:t xml:space="preserve"> It can be further discussed on the number of SR configurations supported.</w:t>
      </w:r>
      <w:bookmarkEnd w:id="77"/>
      <w:bookmarkEnd w:id="78"/>
      <w:bookmarkEnd w:id="79"/>
      <w:bookmarkEnd w:id="80"/>
      <w:bookmarkEnd w:id="81"/>
    </w:p>
    <w:p w14:paraId="108EFACA" w14:textId="21E7061F" w:rsidR="008038BB" w:rsidRPr="00DB429D" w:rsidRDefault="009A242E" w:rsidP="008038BB">
      <w:pPr>
        <w:pStyle w:val="Heading3Style"/>
      </w:pPr>
      <w:r w:rsidRPr="00DB429D">
        <w:t>Mul</w:t>
      </w:r>
      <w:r w:rsidR="003D2B70" w:rsidRPr="00DB429D">
        <w:t>ti</w:t>
      </w:r>
      <w:r w:rsidRPr="00DB429D">
        <w:t>-bit SR</w:t>
      </w:r>
      <w:r w:rsidR="0048392F" w:rsidRPr="00DB429D">
        <w:t xml:space="preserve"> indicating coarse BSR</w:t>
      </w:r>
      <w:r w:rsidRPr="00DB429D">
        <w:t xml:space="preserve"> for URLLC services</w:t>
      </w:r>
    </w:p>
    <w:p w14:paraId="6B0A5606" w14:textId="793AD82F" w:rsidR="008038BB" w:rsidRDefault="00983612" w:rsidP="008038BB">
      <w:r>
        <w:t xml:space="preserve">With the </w:t>
      </w:r>
      <w:r w:rsidR="00F3552B">
        <w:t>multiple SR configurations</w:t>
      </w:r>
      <w:r>
        <w:t xml:space="preserve">, </w:t>
      </w:r>
      <w:proofErr w:type="spellStart"/>
      <w:r>
        <w:t>gNB</w:t>
      </w:r>
      <w:proofErr w:type="spellEnd"/>
      <w:r>
        <w:t xml:space="preserve"> </w:t>
      </w:r>
      <w:r w:rsidR="00853AC5">
        <w:t>is</w:t>
      </w:r>
      <w:r>
        <w:t xml:space="preserve"> able to distinguish the SR whether it was triggered by the LCH of a LCG belonging to </w:t>
      </w:r>
      <w:r w:rsidR="003A218E">
        <w:t>high priority or low latency services</w:t>
      </w:r>
      <w:r w:rsidR="00F3552B">
        <w:t xml:space="preserve"> or</w:t>
      </w:r>
      <w:r w:rsidR="00566E44">
        <w:t xml:space="preserve"> a</w:t>
      </w:r>
      <w:r w:rsidR="00F3552B">
        <w:t xml:space="preserve"> numerology/TTI</w:t>
      </w:r>
      <w:r w:rsidR="0010142B">
        <w:t xml:space="preserve">. For example, there can be three levels of </w:t>
      </w:r>
      <w:r w:rsidR="00E11369">
        <w:t xml:space="preserve">resource configurations (time and frequency) </w:t>
      </w:r>
      <w:r w:rsidR="0010142B">
        <w:t>each for</w:t>
      </w:r>
      <w:r w:rsidR="00F3552B">
        <w:t xml:space="preserve"> LCGs belonging to</w:t>
      </w:r>
      <w:r w:rsidR="0010142B">
        <w:t xml:space="preserve"> URLLC services, high priority </w:t>
      </w:r>
      <w:r w:rsidR="00F3552B">
        <w:t>signaling</w:t>
      </w:r>
      <w:r w:rsidR="0010142B">
        <w:t xml:space="preserve"> and others.</w:t>
      </w:r>
      <w:r w:rsidR="00E11369">
        <w:t xml:space="preserve"> Note that a UE could be configured with all or selective</w:t>
      </w:r>
      <w:r w:rsidR="00DC77EB">
        <w:t xml:space="preserve"> resource</w:t>
      </w:r>
      <w:r w:rsidR="00E11369">
        <w:t xml:space="preserve"> configurations.</w:t>
      </w:r>
      <w:r w:rsidR="0010142B">
        <w:t xml:space="preserve"> </w:t>
      </w:r>
      <w:r w:rsidR="00CD0DEB">
        <w:t>In addition</w:t>
      </w:r>
      <w:r w:rsidR="00F3552B">
        <w:t xml:space="preserve"> to identifying the LCG belonging to</w:t>
      </w:r>
      <w:r w:rsidR="003A218E">
        <w:t xml:space="preserve"> </w:t>
      </w:r>
      <w:r>
        <w:t>URLLC service</w:t>
      </w:r>
      <w:r w:rsidR="003A218E">
        <w:t>s</w:t>
      </w:r>
      <w:r>
        <w:t>, it may also be important to carry information of the buffer status belonging to the LCG to reduce the delay in SR to BSR procedure.</w:t>
      </w:r>
      <w:r w:rsidR="000F2EF8">
        <w:t xml:space="preserve"> </w:t>
      </w:r>
      <w:r w:rsidR="00CD0DEB">
        <w:t>T</w:t>
      </w:r>
      <w:r w:rsidR="000F2EF8">
        <w:t>he network can estimate the size of UL grant</w:t>
      </w:r>
      <w:r w:rsidR="003D2B70">
        <w:t xml:space="preserve"> (e.g., TBS and MCS)</w:t>
      </w:r>
      <w:r w:rsidR="000F2EF8">
        <w:t xml:space="preserve"> based on</w:t>
      </w:r>
      <w:r w:rsidR="0034091B">
        <w:t xml:space="preserve"> the contention-free BSR or</w:t>
      </w:r>
      <w:r w:rsidR="000F2EF8">
        <w:t xml:space="preserve"> coarse buffer status information carried by the SR.</w:t>
      </w:r>
      <w:r w:rsidR="00D11594">
        <w:t xml:space="preserve"> </w:t>
      </w:r>
    </w:p>
    <w:p w14:paraId="7500DEA1" w14:textId="77777777" w:rsidR="008B3DE2" w:rsidRDefault="0048392F" w:rsidP="00DB429D">
      <w:pPr>
        <w:keepNext/>
        <w:jc w:val="center"/>
      </w:pPr>
      <w:r>
        <w:object w:dxaOrig="7921" w:dyaOrig="2836" w14:anchorId="6EB2F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1.65pt" o:ole="">
            <v:imagedata r:id="rId10" o:title=""/>
          </v:shape>
          <o:OLEObject Type="Embed" ProgID="Visio.Drawing.15" ShapeID="_x0000_i1025" DrawAspect="Content" ObjectID="_1555536216" r:id="rId11"/>
        </w:object>
      </w:r>
    </w:p>
    <w:p w14:paraId="7276FC60" w14:textId="19160DE6" w:rsidR="0048392F" w:rsidRDefault="008B3DE2" w:rsidP="00DB429D">
      <w:pPr>
        <w:pStyle w:val="Caption"/>
        <w:jc w:val="center"/>
      </w:pPr>
      <w:r>
        <w:t xml:space="preserve">Figure </w:t>
      </w:r>
      <w:fldSimple w:instr=" SEQ Figure \* ARABIC ">
        <w:r>
          <w:rPr>
            <w:noProof/>
          </w:rPr>
          <w:t>1</w:t>
        </w:r>
      </w:fldSimple>
      <w:r>
        <w:t xml:space="preserve"> SR resources with different periodicity</w:t>
      </w:r>
    </w:p>
    <w:p w14:paraId="6BBA8E96" w14:textId="3F84A2F8" w:rsidR="000F2EF8" w:rsidRDefault="00854BB4" w:rsidP="000F2EF8">
      <w:pPr>
        <w:pStyle w:val="Observationstyle"/>
      </w:pPr>
      <w:bookmarkStart w:id="82" w:name="_Toc481162371"/>
      <w:bookmarkStart w:id="83" w:name="_Toc481162466"/>
      <w:bookmarkStart w:id="84" w:name="_Toc481398525"/>
      <w:bookmarkStart w:id="85" w:name="_Toc481399545"/>
      <w:bookmarkStart w:id="86" w:name="_Toc481408637"/>
      <w:bookmarkStart w:id="87" w:name="_Toc481784852"/>
      <w:bookmarkStart w:id="88" w:name="_Toc481790190"/>
      <w:r>
        <w:t>T</w:t>
      </w:r>
      <w:r w:rsidR="000F2EF8">
        <w:t>he network can</w:t>
      </w:r>
      <w:r>
        <w:t xml:space="preserve"> </w:t>
      </w:r>
      <w:r w:rsidR="000F2EF8">
        <w:t>estimate the size of UL grant based on coarse buffer status information carried by the SR.</w:t>
      </w:r>
      <w:bookmarkEnd w:id="82"/>
      <w:bookmarkEnd w:id="83"/>
      <w:bookmarkEnd w:id="84"/>
      <w:bookmarkEnd w:id="85"/>
      <w:bookmarkEnd w:id="86"/>
      <w:bookmarkEnd w:id="87"/>
      <w:bookmarkEnd w:id="88"/>
    </w:p>
    <w:p w14:paraId="7531478D" w14:textId="20780DC6" w:rsidR="000F2EF8" w:rsidRDefault="000F2EF8" w:rsidP="000F2EF8">
      <w:r>
        <w:t>For</w:t>
      </w:r>
      <w:r w:rsidR="00CD0DEB">
        <w:t xml:space="preserve"> LCHs belonging to</w:t>
      </w:r>
      <w:r>
        <w:t xml:space="preserve"> URLLC, other options such as grant-free BSR and SPS can also be considered. However, we understand that the shared resources </w:t>
      </w:r>
      <w:r w:rsidR="00854BB4">
        <w:t>may need to be</w:t>
      </w:r>
      <w:r>
        <w:t xml:space="preserve"> used for this purpose and the latency requirement may not be met.</w:t>
      </w:r>
      <w:r w:rsidR="00D75CF8">
        <w:t xml:space="preserve"> Therefore, multi-bit SR can be considered</w:t>
      </w:r>
      <w:r w:rsidR="00E644BD">
        <w:t xml:space="preserve"> as an option</w:t>
      </w:r>
      <w:r w:rsidR="00D75CF8">
        <w:t xml:space="preserve"> to carry the coarse BSR in the resources exclusively allocated for the LCG of LCH belonging to the URLLC services.</w:t>
      </w:r>
      <w:r w:rsidR="00390D9E">
        <w:t xml:space="preserve"> How many bits to consider for carrying the coarse buffer status can be further discussed.</w:t>
      </w:r>
      <w:r w:rsidR="001C4272">
        <w:t xml:space="preserve"> It is understood that multi-bit SR could consume significant resource to achieve same level of </w:t>
      </w:r>
      <w:r w:rsidR="003A218E">
        <w:t>reliability</w:t>
      </w:r>
      <w:r w:rsidR="00854BB4">
        <w:t xml:space="preserve"> as that of legacy SR</w:t>
      </w:r>
      <w:r w:rsidR="001C4272">
        <w:t>.</w:t>
      </w:r>
    </w:p>
    <w:p w14:paraId="0466909E" w14:textId="00176409" w:rsidR="00D75CF8" w:rsidRDefault="00D75CF8" w:rsidP="00D75CF8">
      <w:pPr>
        <w:pStyle w:val="Recommend-1"/>
      </w:pPr>
      <w:bookmarkStart w:id="89" w:name="_Toc481162380"/>
      <w:bookmarkStart w:id="90" w:name="_Toc481162475"/>
      <w:bookmarkStart w:id="91" w:name="_Toc481398534"/>
      <w:bookmarkStart w:id="92" w:name="_Toc481399554"/>
      <w:bookmarkStart w:id="93" w:name="_Toc481408646"/>
      <w:bookmarkStart w:id="94" w:name="_Toc481784859"/>
      <w:bookmarkStart w:id="95" w:name="_Toc481790197"/>
      <w:r>
        <w:t xml:space="preserve">Multi-bit SR </w:t>
      </w:r>
      <w:r w:rsidR="00CD0DEB">
        <w:t>can be</w:t>
      </w:r>
      <w:r>
        <w:t xml:space="preserve"> considered</w:t>
      </w:r>
      <w:r w:rsidR="00CD0DEB">
        <w:t xml:space="preserve"> as </w:t>
      </w:r>
      <w:r w:rsidR="00F70AC7">
        <w:t xml:space="preserve">an </w:t>
      </w:r>
      <w:r w:rsidR="00CD0DEB">
        <w:t>enhancement</w:t>
      </w:r>
      <w:r>
        <w:t xml:space="preserve"> to</w:t>
      </w:r>
      <w:r w:rsidR="001C4272">
        <w:t xml:space="preserve"> meet a latency requirement of a URLLC service by</w:t>
      </w:r>
      <w:r>
        <w:t xml:space="preserve"> carry</w:t>
      </w:r>
      <w:r w:rsidR="001C4272">
        <w:t>ing</w:t>
      </w:r>
      <w:r>
        <w:t xml:space="preserve"> the coarse BSR </w:t>
      </w:r>
      <w:r w:rsidR="00CD0DEB">
        <w:t xml:space="preserve">only </w:t>
      </w:r>
      <w:r>
        <w:t xml:space="preserve">in the resources exclusively allocated for the LCG of a LCH belonging to the </w:t>
      </w:r>
      <w:r w:rsidR="001C4272">
        <w:t>service</w:t>
      </w:r>
      <w:r>
        <w:t>.</w:t>
      </w:r>
      <w:bookmarkEnd w:id="89"/>
      <w:bookmarkEnd w:id="90"/>
      <w:bookmarkEnd w:id="91"/>
      <w:bookmarkEnd w:id="92"/>
      <w:bookmarkEnd w:id="93"/>
      <w:bookmarkEnd w:id="94"/>
      <w:bookmarkEnd w:id="95"/>
    </w:p>
    <w:p w14:paraId="5A33E03D" w14:textId="4A010A3C" w:rsidR="003F5E77" w:rsidRDefault="00FD62C8" w:rsidP="0052610A">
      <w:pPr>
        <w:pStyle w:val="Heading2"/>
      </w:pPr>
      <w:r>
        <w:t>BSR enh</w:t>
      </w:r>
      <w:r w:rsidR="004D5BCE">
        <w:t>a</w:t>
      </w:r>
      <w:r>
        <w:t>ncements</w:t>
      </w:r>
    </w:p>
    <w:p w14:paraId="493CEDF9" w14:textId="1B6AE302" w:rsidR="00BF3163" w:rsidRPr="00BF3163" w:rsidRDefault="00BF3163" w:rsidP="00BF3163">
      <w:pPr>
        <w:pStyle w:val="Heading3Style"/>
      </w:pPr>
      <w:r>
        <w:t xml:space="preserve">Higher </w:t>
      </w:r>
      <w:r w:rsidR="00ED6478">
        <w:t>number of granula</w:t>
      </w:r>
      <w:r w:rsidR="000215C7">
        <w:t>rities</w:t>
      </w:r>
      <w:r>
        <w:t xml:space="preserve"> in BSR</w:t>
      </w:r>
    </w:p>
    <w:p w14:paraId="182D16B6" w14:textId="6E99CA77" w:rsidR="0052663F" w:rsidRDefault="004570E9" w:rsidP="00231D4F">
      <w:r>
        <w:t>In LTE, there are two types of BSR</w:t>
      </w:r>
      <w:r w:rsidR="0052610A">
        <w:t xml:space="preserve"> format</w:t>
      </w:r>
      <w:r w:rsidR="00C326A0">
        <w:t>s</w:t>
      </w:r>
      <w:r>
        <w:t xml:space="preserve"> that can be reported to eNB. The first one is the short</w:t>
      </w:r>
      <w:r w:rsidR="0052610A">
        <w:t>/truncated</w:t>
      </w:r>
      <w:r>
        <w:t xml:space="preserve"> BSR</w:t>
      </w:r>
      <w:r w:rsidR="0052610A">
        <w:t xml:space="preserve"> format</w:t>
      </w:r>
      <w:r>
        <w:t xml:space="preserve"> where buffer status of </w:t>
      </w:r>
      <w:r w:rsidR="00184B2E">
        <w:t>one</w:t>
      </w:r>
      <w:r>
        <w:t xml:space="preserve"> logical channel group can be reported. The second one is the long BSR</w:t>
      </w:r>
      <w:r w:rsidR="0052610A">
        <w:t xml:space="preserve"> format</w:t>
      </w:r>
      <w:r>
        <w:t xml:space="preserve"> where data from all logical channel groups are reported. </w:t>
      </w:r>
      <w:r w:rsidR="00080F13">
        <w:t>T</w:t>
      </w:r>
      <w:r w:rsidR="005E2B01">
        <w:t>here are 4 LCGs</w:t>
      </w:r>
      <w:r w:rsidR="00C63CB5">
        <w:t xml:space="preserve"> that can be reported in BSR</w:t>
      </w:r>
      <w:r w:rsidR="005E2B01">
        <w:t xml:space="preserve">. In NR, more number of LCGs may be defined </w:t>
      </w:r>
      <w:r w:rsidR="00874421">
        <w:t xml:space="preserve">to </w:t>
      </w:r>
      <w:r w:rsidR="00C63CB5">
        <w:t>report</w:t>
      </w:r>
      <w:r w:rsidR="00874421">
        <w:t xml:space="preserve"> the finer granularity of the data priorities </w:t>
      </w:r>
      <w:r w:rsidR="005E2B01">
        <w:t xml:space="preserve">depending on the number of logical channels or types of services to be supported. </w:t>
      </w:r>
      <w:r w:rsidR="0052663F">
        <w:t xml:space="preserve">Note that BSR may not need to carry </w:t>
      </w:r>
      <w:r w:rsidR="00976C6E">
        <w:t xml:space="preserve">explicit </w:t>
      </w:r>
      <w:r w:rsidR="0052663F">
        <w:t>information specific to numerology/TTI length as this can be implied by the LCG as it is up to the network to map a logical channel to a particular numerology/TTI length.</w:t>
      </w:r>
    </w:p>
    <w:p w14:paraId="67BFB5D5" w14:textId="1CF91B43" w:rsidR="0052663F" w:rsidRDefault="0052663F" w:rsidP="0052663F">
      <w:pPr>
        <w:pStyle w:val="Observationstyle"/>
      </w:pPr>
      <w:bookmarkStart w:id="96" w:name="_Toc481162372"/>
      <w:bookmarkStart w:id="97" w:name="_Toc481162467"/>
      <w:bookmarkStart w:id="98" w:name="_Toc481398526"/>
      <w:bookmarkStart w:id="99" w:name="_Toc481399546"/>
      <w:bookmarkStart w:id="100" w:name="_Toc481408638"/>
      <w:bookmarkStart w:id="101" w:name="_Toc481784853"/>
      <w:bookmarkStart w:id="102" w:name="_Toc481790191"/>
      <w:r>
        <w:t xml:space="preserve">BSR may not need to carry </w:t>
      </w:r>
      <w:r w:rsidR="00976C6E">
        <w:t xml:space="preserve">explicit </w:t>
      </w:r>
      <w:r>
        <w:t xml:space="preserve">information specific to numerology/TTI length as this can be implied by the LCG as it is up to the network to </w:t>
      </w:r>
      <w:r w:rsidR="0084166D">
        <w:t>map</w:t>
      </w:r>
      <w:r>
        <w:t xml:space="preserve"> a logical channel to a particular numerology/TTI length.</w:t>
      </w:r>
      <w:bookmarkEnd w:id="96"/>
      <w:bookmarkEnd w:id="97"/>
      <w:bookmarkEnd w:id="98"/>
      <w:bookmarkEnd w:id="99"/>
      <w:bookmarkEnd w:id="100"/>
      <w:bookmarkEnd w:id="101"/>
      <w:bookmarkEnd w:id="102"/>
    </w:p>
    <w:p w14:paraId="00650E30" w14:textId="461162F3" w:rsidR="00231D4F" w:rsidRDefault="00231D4F" w:rsidP="00231D4F">
      <w:r>
        <w:t xml:space="preserve">In NR, higher </w:t>
      </w:r>
      <w:r w:rsidR="00464BC3">
        <w:t>granularit</w:t>
      </w:r>
      <w:r w:rsidR="00976C6E">
        <w:t>y</w:t>
      </w:r>
      <w:r>
        <w:t xml:space="preserve"> in the BSR reporting can be achieved as BSR per LCG and BSR or logical channel.</w:t>
      </w:r>
    </w:p>
    <w:p w14:paraId="47084365" w14:textId="77777777" w:rsidR="003F5E77" w:rsidRPr="00231D4F" w:rsidRDefault="00FD62C8" w:rsidP="00231D4F">
      <w:pPr>
        <w:rPr>
          <w:b/>
        </w:rPr>
      </w:pPr>
      <w:r w:rsidRPr="00231D4F">
        <w:rPr>
          <w:b/>
        </w:rPr>
        <w:t>BSR per LCG</w:t>
      </w:r>
    </w:p>
    <w:p w14:paraId="230E5628" w14:textId="6C9A7962" w:rsidR="00FA77FB" w:rsidRDefault="00FA77FB" w:rsidP="00FA77FB">
      <w:r>
        <w:t>In LTE, only four logical channel group</w:t>
      </w:r>
      <w:r w:rsidR="00464BC3">
        <w:t>s</w:t>
      </w:r>
      <w:r>
        <w:t xml:space="preserve"> (LCG) are defined </w:t>
      </w:r>
      <w:r w:rsidR="00464BC3">
        <w:t>to group the logical channels associated with different priorities</w:t>
      </w:r>
      <w:r>
        <w:t xml:space="preserve">. In NR, for finer granularity of data priorities to reflect the various services and </w:t>
      </w:r>
      <w:r w:rsidR="00E250F2">
        <w:t>numerologies</w:t>
      </w:r>
      <w:r>
        <w:t xml:space="preserve"> a UE is supporting, </w:t>
      </w:r>
      <w:r w:rsidR="00632E56">
        <w:t xml:space="preserve">a </w:t>
      </w:r>
      <w:r w:rsidR="00874421">
        <w:t xml:space="preserve">larger </w:t>
      </w:r>
      <w:r w:rsidR="00632E56">
        <w:t>number</w:t>
      </w:r>
      <w:r>
        <w:t xml:space="preserve"> of LCGs </w:t>
      </w:r>
      <w:r w:rsidR="00184B2E">
        <w:t>could be necessary</w:t>
      </w:r>
      <w:r>
        <w:t>. In this case, a new MAC CE for BSR needs to be designed to accommodate all data corresponding to a number of LCGs.</w:t>
      </w:r>
      <w:r w:rsidR="0034505A">
        <w:t xml:space="preserve"> The MAC CE could include one or more than one LCG IDs of the data.</w:t>
      </w:r>
    </w:p>
    <w:p w14:paraId="7DD804D3" w14:textId="77777777" w:rsidR="00FD62C8" w:rsidRPr="00231D4F" w:rsidRDefault="00FD62C8" w:rsidP="00231D4F">
      <w:pPr>
        <w:rPr>
          <w:b/>
        </w:rPr>
      </w:pPr>
      <w:r w:rsidRPr="00231D4F">
        <w:rPr>
          <w:b/>
        </w:rPr>
        <w:t>BSR per logical channel</w:t>
      </w:r>
    </w:p>
    <w:p w14:paraId="633E145A" w14:textId="074E651F" w:rsidR="00CD703E" w:rsidRDefault="00CD703E" w:rsidP="005744F4">
      <w:r>
        <w:lastRenderedPageBreak/>
        <w:t>Another option in enhancing the BSR could be reporting the BSR corresponding to each logical channel. In NR, it is likely that a</w:t>
      </w:r>
      <w:r w:rsidR="0071434C">
        <w:t xml:space="preserve"> logical channel may </w:t>
      </w:r>
      <w:r w:rsidR="001A0AC6">
        <w:t>be associated with</w:t>
      </w:r>
      <w:r>
        <w:t xml:space="preserve"> a</w:t>
      </w:r>
      <w:r w:rsidR="0071434C">
        <w:t xml:space="preserve"> </w:t>
      </w:r>
      <w:r w:rsidR="00464BC3">
        <w:t>numerology/</w:t>
      </w:r>
      <w:r w:rsidR="006E68D8">
        <w:t>TTI</w:t>
      </w:r>
      <w:r w:rsidR="0071434C">
        <w:t xml:space="preserve"> or a</w:t>
      </w:r>
      <w:r>
        <w:t xml:space="preserve"> service. It </w:t>
      </w:r>
      <w:r w:rsidR="00B3499B">
        <w:t>could be possible that data in one</w:t>
      </w:r>
      <w:r>
        <w:t xml:space="preserve"> logical channel may be more important or have higher priority than the data in other logical channel.</w:t>
      </w:r>
      <w:r w:rsidR="00964AF5">
        <w:t xml:space="preserve"> This can be decided based on a mapping function between the logical channel and TTI duration or QoS flow profile.</w:t>
      </w:r>
      <w:r w:rsidR="0071434C">
        <w:t xml:space="preserve"> For this purpose,</w:t>
      </w:r>
      <w:r w:rsidR="005D5067">
        <w:t xml:space="preserve"> a new MAC CE can be defined </w:t>
      </w:r>
      <w:r w:rsidR="007E12C5">
        <w:t>to indicate the logical channel associated with the buffer index in the BSR</w:t>
      </w:r>
      <w:r w:rsidR="00B54288">
        <w:t>, however, it will require more bits in BSR than</w:t>
      </w:r>
      <w:r w:rsidR="001F31E3">
        <w:t xml:space="preserve"> BSR per LCG</w:t>
      </w:r>
      <w:r w:rsidR="007E12C5">
        <w:t>.</w:t>
      </w:r>
    </w:p>
    <w:p w14:paraId="08E3030B" w14:textId="77777777" w:rsidR="001F31E3" w:rsidRDefault="001F31E3" w:rsidP="001F31E3">
      <w:pPr>
        <w:pStyle w:val="Observationstyle"/>
      </w:pPr>
      <w:bookmarkStart w:id="103" w:name="_Toc481784854"/>
      <w:bookmarkStart w:id="104" w:name="_Toc481790192"/>
      <w:r>
        <w:rPr>
          <w:rStyle w:val="ObservationstyleChar"/>
        </w:rPr>
        <w:t>Higher number of LCGs than supported in LTE can be defined for supporting finer granularity of priorities of data to be reported in BSR</w:t>
      </w:r>
      <w:r>
        <w:t>.</w:t>
      </w:r>
      <w:bookmarkEnd w:id="103"/>
      <w:bookmarkEnd w:id="104"/>
    </w:p>
    <w:p w14:paraId="71FC41ED" w14:textId="385ADE4E" w:rsidR="000215C7" w:rsidRDefault="001F31E3" w:rsidP="00231D4F">
      <w:r>
        <w:t>F</w:t>
      </w:r>
      <w:r w:rsidR="00231D4F">
        <w:t xml:space="preserve">or the design of BSR </w:t>
      </w:r>
      <w:r>
        <w:t>to support higher number of LCGs</w:t>
      </w:r>
      <w:r w:rsidR="00231D4F">
        <w:t>, a new design of BSR format is required to achieve a flexible and efficient BSR reporting mechanism in NR.</w:t>
      </w:r>
      <w:r>
        <w:t xml:space="preserve"> A drawback of the current method is that it is not flexible to transmit the BSR corresponding to two to (max-1) LCGs. </w:t>
      </w:r>
      <w:r w:rsidR="00231D4F">
        <w:t xml:space="preserve"> Therefore, whether or not more than 4 </w:t>
      </w:r>
      <w:r>
        <w:t>LCGs</w:t>
      </w:r>
      <w:r w:rsidR="00C63CB5">
        <w:t xml:space="preserve"> to be reported in BSR</w:t>
      </w:r>
      <w:r w:rsidR="00231D4F">
        <w:t xml:space="preserve"> is necessary in NR can be further </w:t>
      </w:r>
      <w:r w:rsidR="00A903A0">
        <w:t>studied as a strong need has not been identified</w:t>
      </w:r>
      <w:r w:rsidR="00AB44C0">
        <w:t xml:space="preserve">. </w:t>
      </w:r>
      <w:r w:rsidR="00BF3163">
        <w:t>It is possible that</w:t>
      </w:r>
      <w:r w:rsidR="00231D4F">
        <w:t xml:space="preserve"> the logical channel</w:t>
      </w:r>
      <w:r w:rsidR="00BF3163">
        <w:t>s associated with the different services can</w:t>
      </w:r>
      <w:r w:rsidR="00AB44C0">
        <w:t xml:space="preserve"> still</w:t>
      </w:r>
      <w:r w:rsidR="00080F13">
        <w:t xml:space="preserve"> be </w:t>
      </w:r>
      <w:r w:rsidR="00C63CB5">
        <w:t>grouped into 4 LCGs</w:t>
      </w:r>
      <w:r w:rsidR="00BF3163">
        <w:t xml:space="preserve"> and current</w:t>
      </w:r>
      <w:r w:rsidR="00176593">
        <w:t xml:space="preserve"> LTE-based</w:t>
      </w:r>
      <w:r w:rsidR="00BF3163">
        <w:t xml:space="preserve"> BSR format is </w:t>
      </w:r>
      <w:r w:rsidR="00176593">
        <w:t>re</w:t>
      </w:r>
      <w:r w:rsidR="00BF3163">
        <w:t xml:space="preserve">used in NR. For example, logical channels associated with SRBs, URLLC, VoIP and others can be </w:t>
      </w:r>
      <w:r w:rsidR="00464BC3">
        <w:t>grouped</w:t>
      </w:r>
      <w:r w:rsidR="00BF3163">
        <w:t xml:space="preserve"> to LCG 0, 1, 2 and 3 respectively.</w:t>
      </w:r>
      <w:r w:rsidR="000215C7">
        <w:t xml:space="preserve"> </w:t>
      </w:r>
    </w:p>
    <w:p w14:paraId="110248CB" w14:textId="110F3439" w:rsidR="00214774" w:rsidRDefault="00214774" w:rsidP="00231D4F">
      <w:pPr>
        <w:pStyle w:val="Observationstyle"/>
      </w:pPr>
      <w:bookmarkStart w:id="105" w:name="_Toc473640504"/>
      <w:bookmarkStart w:id="106" w:name="_Toc473640646"/>
      <w:bookmarkStart w:id="107" w:name="_Toc473910659"/>
      <w:bookmarkStart w:id="108" w:name="_Toc473910740"/>
      <w:bookmarkStart w:id="109" w:name="_Toc473926540"/>
      <w:bookmarkStart w:id="110" w:name="_Toc473927461"/>
      <w:bookmarkStart w:id="111" w:name="_Toc473927646"/>
      <w:bookmarkStart w:id="112" w:name="_Toc473928458"/>
      <w:bookmarkStart w:id="113" w:name="_Toc473928706"/>
      <w:bookmarkStart w:id="114" w:name="_Toc477684819"/>
      <w:bookmarkStart w:id="115" w:name="_Toc478032669"/>
      <w:bookmarkStart w:id="116" w:name="_Toc478033482"/>
      <w:bookmarkStart w:id="117" w:name="_Toc478116625"/>
      <w:bookmarkStart w:id="118" w:name="_Toc478158688"/>
      <w:bookmarkStart w:id="119" w:name="_Toc478160180"/>
      <w:bookmarkStart w:id="120" w:name="_Toc481162375"/>
      <w:bookmarkStart w:id="121" w:name="_Toc481162470"/>
      <w:bookmarkStart w:id="122" w:name="_Toc481398529"/>
      <w:bookmarkStart w:id="123" w:name="_Toc481399549"/>
      <w:bookmarkStart w:id="124" w:name="_Toc481408641"/>
      <w:bookmarkStart w:id="125" w:name="_Toc481784855"/>
      <w:bookmarkStart w:id="126" w:name="_Toc481790193"/>
      <w:r>
        <w:rPr>
          <w:rStyle w:val="ObservationstyleChar"/>
        </w:rPr>
        <w:t xml:space="preserve">Currently supported </w:t>
      </w:r>
      <w:r w:rsidR="00C63CB5">
        <w:rPr>
          <w:rStyle w:val="ObservationstyleChar"/>
        </w:rPr>
        <w:t>4 LCGs</w:t>
      </w:r>
      <w:r>
        <w:rPr>
          <w:rStyle w:val="ObservationstyleChar"/>
        </w:rPr>
        <w:t xml:space="preserve"> can be </w:t>
      </w:r>
      <w:r w:rsidR="003044EA">
        <w:rPr>
          <w:rStyle w:val="ObservationstyleChar"/>
        </w:rPr>
        <w:t xml:space="preserve">baseline for </w:t>
      </w:r>
      <w:r>
        <w:rPr>
          <w:rStyle w:val="ObservationstyleChar"/>
        </w:rPr>
        <w:t>NR</w:t>
      </w:r>
      <w:r w:rsidR="00AB44C0">
        <w:rPr>
          <w:rStyle w:val="ObservationstyleChar"/>
        </w:rPr>
        <w:t>.</w:t>
      </w:r>
      <w:r w:rsidR="003044EA">
        <w:rPr>
          <w:rStyle w:val="ObservationstyleChar"/>
        </w:rPr>
        <w:t xml:space="preserve"> </w:t>
      </w:r>
      <w:bookmarkEnd w:id="105"/>
      <w:bookmarkEnd w:id="106"/>
      <w:bookmarkEnd w:id="107"/>
      <w:bookmarkEnd w:id="108"/>
      <w:bookmarkEnd w:id="109"/>
      <w:bookmarkEnd w:id="110"/>
      <w:bookmarkEnd w:id="111"/>
      <w:bookmarkEnd w:id="112"/>
      <w:bookmarkEnd w:id="113"/>
      <w:bookmarkEnd w:id="114"/>
      <w:r w:rsidR="003044EA">
        <w:t xml:space="preserve">More </w:t>
      </w:r>
      <w:r>
        <w:t xml:space="preserve">number of </w:t>
      </w:r>
      <w:r w:rsidR="001F31E3">
        <w:t>LCGs</w:t>
      </w:r>
      <w:r w:rsidR="00954AFE">
        <w:t xml:space="preserve"> to be reported</w:t>
      </w:r>
      <w:r w:rsidR="00C63CB5">
        <w:t xml:space="preserve"> in BSR</w:t>
      </w:r>
      <w:r>
        <w:t xml:space="preserve"> </w:t>
      </w:r>
      <w:r w:rsidR="003044EA">
        <w:t>may be considered if there is demand to have finer granularity</w:t>
      </w:r>
      <w:r>
        <w:t>.</w:t>
      </w:r>
      <w:bookmarkEnd w:id="115"/>
      <w:bookmarkEnd w:id="116"/>
      <w:bookmarkEnd w:id="117"/>
      <w:bookmarkEnd w:id="118"/>
      <w:bookmarkEnd w:id="119"/>
      <w:bookmarkEnd w:id="120"/>
      <w:bookmarkEnd w:id="121"/>
      <w:bookmarkEnd w:id="122"/>
      <w:bookmarkEnd w:id="123"/>
      <w:bookmarkEnd w:id="124"/>
      <w:bookmarkEnd w:id="125"/>
      <w:bookmarkEnd w:id="126"/>
      <w:r>
        <w:t xml:space="preserve"> </w:t>
      </w:r>
    </w:p>
    <w:p w14:paraId="4D5A364F" w14:textId="0F53390A" w:rsidR="00231D4F" w:rsidRDefault="00214774" w:rsidP="00231D4F">
      <w:pPr>
        <w:pStyle w:val="Observationstyle"/>
      </w:pPr>
      <w:bookmarkStart w:id="127" w:name="_Toc478032670"/>
      <w:bookmarkStart w:id="128" w:name="_Toc478033483"/>
      <w:bookmarkStart w:id="129" w:name="_Toc478116626"/>
      <w:bookmarkStart w:id="130" w:name="_Toc478158689"/>
      <w:bookmarkStart w:id="131" w:name="_Toc478160181"/>
      <w:bookmarkStart w:id="132" w:name="_Toc481162376"/>
      <w:bookmarkStart w:id="133" w:name="_Toc481162471"/>
      <w:bookmarkStart w:id="134" w:name="_Toc481398530"/>
      <w:bookmarkStart w:id="135" w:name="_Toc481399550"/>
      <w:bookmarkStart w:id="136" w:name="_Toc481408642"/>
      <w:bookmarkStart w:id="137" w:name="_Toc481784856"/>
      <w:bookmarkStart w:id="138" w:name="_Toc481790194"/>
      <w:r>
        <w:t xml:space="preserve">If more </w:t>
      </w:r>
      <w:r w:rsidR="007C3FC3">
        <w:t>number of LCGs</w:t>
      </w:r>
      <w:r w:rsidR="00954AFE">
        <w:t xml:space="preserve"> to be reported</w:t>
      </w:r>
      <w:r>
        <w:t xml:space="preserve"> in BSR are </w:t>
      </w:r>
      <w:r w:rsidR="003044EA">
        <w:t>necessary</w:t>
      </w:r>
      <w:r>
        <w:t>, new flexible and efficient BSR formats enabling reporting of larger number of types/priorities of data will be required.</w:t>
      </w:r>
      <w:bookmarkEnd w:id="127"/>
      <w:bookmarkEnd w:id="128"/>
      <w:bookmarkEnd w:id="129"/>
      <w:bookmarkEnd w:id="130"/>
      <w:bookmarkEnd w:id="131"/>
      <w:bookmarkEnd w:id="132"/>
      <w:bookmarkEnd w:id="133"/>
      <w:bookmarkEnd w:id="134"/>
      <w:bookmarkEnd w:id="135"/>
      <w:bookmarkEnd w:id="136"/>
      <w:bookmarkEnd w:id="137"/>
      <w:bookmarkEnd w:id="138"/>
    </w:p>
    <w:p w14:paraId="7854F412" w14:textId="642A2C5C" w:rsidR="005D5067" w:rsidRDefault="001F31E3" w:rsidP="004851FD">
      <w:pPr>
        <w:pStyle w:val="Recommend-1"/>
      </w:pPr>
      <w:bookmarkStart w:id="139" w:name="_Toc473640508"/>
      <w:bookmarkStart w:id="140" w:name="_Toc473640739"/>
      <w:bookmarkStart w:id="141" w:name="_Toc473640791"/>
      <w:bookmarkStart w:id="142" w:name="_Toc473910663"/>
      <w:bookmarkStart w:id="143" w:name="_Toc473910681"/>
      <w:bookmarkStart w:id="144" w:name="_Toc473910726"/>
      <w:bookmarkStart w:id="145" w:name="_Toc473926544"/>
      <w:bookmarkStart w:id="146" w:name="_Toc473927465"/>
      <w:bookmarkStart w:id="147" w:name="_Toc473927640"/>
      <w:bookmarkStart w:id="148" w:name="_Toc473928462"/>
      <w:bookmarkStart w:id="149" w:name="_Toc473928710"/>
      <w:bookmarkStart w:id="150" w:name="_Toc477535813"/>
      <w:bookmarkStart w:id="151" w:name="_Toc477684806"/>
      <w:bookmarkStart w:id="152" w:name="_Toc478032674"/>
      <w:bookmarkStart w:id="153" w:name="_Toc478033012"/>
      <w:bookmarkStart w:id="154" w:name="_Toc478033093"/>
      <w:bookmarkStart w:id="155" w:name="_Toc478033487"/>
      <w:bookmarkStart w:id="156" w:name="_Toc478116630"/>
      <w:bookmarkStart w:id="157" w:name="_Toc478131482"/>
      <w:bookmarkStart w:id="158" w:name="_Toc478156360"/>
      <w:bookmarkStart w:id="159" w:name="_Toc478158694"/>
      <w:bookmarkStart w:id="160" w:name="_Toc478160184"/>
      <w:bookmarkStart w:id="161" w:name="_Toc481162381"/>
      <w:bookmarkStart w:id="162" w:name="_Toc481162476"/>
      <w:bookmarkStart w:id="163" w:name="_Toc481398535"/>
      <w:bookmarkStart w:id="164" w:name="_Toc481399555"/>
      <w:bookmarkStart w:id="165" w:name="_Toc481408647"/>
      <w:bookmarkStart w:id="166" w:name="_Toc481784860"/>
      <w:bookmarkStart w:id="167" w:name="_Toc481790198"/>
      <w:r>
        <w:t>Four LCGs</w:t>
      </w:r>
      <w:r w:rsidR="00954AFE">
        <w:t xml:space="preserve"> to be reported</w:t>
      </w:r>
      <w:r w:rsidR="00214774">
        <w:t xml:space="preserve"> in BSR is </w:t>
      </w:r>
      <w:r>
        <w:t xml:space="preserve">baseline </w:t>
      </w:r>
      <w:r w:rsidR="00D2713B">
        <w:t>in NR</w:t>
      </w:r>
      <w:r w:rsidR="00B3499B">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t xml:space="preserve"> For more than four LCGs, more justification and discussions would be required.</w:t>
      </w:r>
      <w:bookmarkEnd w:id="166"/>
      <w:bookmarkEnd w:id="167"/>
    </w:p>
    <w:p w14:paraId="5696E89A" w14:textId="7666399A" w:rsidR="00DC157A" w:rsidRDefault="00DC157A" w:rsidP="00DC157A">
      <w:pPr>
        <w:pStyle w:val="Heading3"/>
        <w:ind w:left="720"/>
      </w:pPr>
      <w:r>
        <w:t>BSR triggering</w:t>
      </w:r>
    </w:p>
    <w:p w14:paraId="71564276" w14:textId="40A1503A" w:rsidR="00323DF0" w:rsidRDefault="00FB51DC" w:rsidP="00FB18EF">
      <w:pPr>
        <w:rPr>
          <w:lang w:val="en-GB" w:eastAsia="x-none"/>
        </w:rPr>
      </w:pPr>
      <w:r>
        <w:rPr>
          <w:lang w:val="en-GB" w:eastAsia="x-none"/>
        </w:rPr>
        <w:t xml:space="preserve">In LTE, when a data arrival on the equal or lower priority logical channel takes place while BSR </w:t>
      </w:r>
      <w:r w:rsidR="00323DF0">
        <w:rPr>
          <w:lang w:val="en-GB" w:eastAsia="x-none"/>
        </w:rPr>
        <w:t>has already been triggered</w:t>
      </w:r>
      <w:r w:rsidR="00340FD6">
        <w:rPr>
          <w:lang w:val="en-GB" w:eastAsia="x-none"/>
        </w:rPr>
        <w:t xml:space="preserve"> and UE is waiting for UL grant</w:t>
      </w:r>
      <w:r>
        <w:rPr>
          <w:lang w:val="en-GB" w:eastAsia="x-none"/>
        </w:rPr>
        <w:t xml:space="preserve">, </w:t>
      </w:r>
      <w:r w:rsidR="00323DF0">
        <w:rPr>
          <w:lang w:val="en-GB" w:eastAsia="x-none"/>
        </w:rPr>
        <w:t>new BSR does</w:t>
      </w:r>
      <w:r>
        <w:rPr>
          <w:lang w:val="en-GB" w:eastAsia="x-none"/>
        </w:rPr>
        <w:t xml:space="preserve"> not get triggered. In this case, </w:t>
      </w:r>
      <w:r w:rsidR="00323DF0">
        <w:rPr>
          <w:lang w:val="en-GB" w:eastAsia="x-none"/>
        </w:rPr>
        <w:t xml:space="preserve">new </w:t>
      </w:r>
      <w:r>
        <w:rPr>
          <w:lang w:val="en-GB" w:eastAsia="x-none"/>
        </w:rPr>
        <w:t xml:space="preserve">BSR may not be reported in the received </w:t>
      </w:r>
      <w:r w:rsidR="002D34F1">
        <w:rPr>
          <w:lang w:val="en-GB" w:eastAsia="x-none"/>
        </w:rPr>
        <w:t xml:space="preserve">UL </w:t>
      </w:r>
      <w:r>
        <w:rPr>
          <w:lang w:val="en-GB" w:eastAsia="x-none"/>
        </w:rPr>
        <w:t>grant</w:t>
      </w:r>
      <w:r w:rsidR="00323DF0">
        <w:rPr>
          <w:lang w:val="en-GB" w:eastAsia="x-none"/>
        </w:rPr>
        <w:t xml:space="preserve"> </w:t>
      </w:r>
      <w:r w:rsidR="00FF3074">
        <w:rPr>
          <w:lang w:val="en-GB" w:eastAsia="x-none"/>
        </w:rPr>
        <w:t>and</w:t>
      </w:r>
      <w:r w:rsidR="00323DF0">
        <w:rPr>
          <w:lang w:val="en-GB" w:eastAsia="x-none"/>
        </w:rPr>
        <w:t xml:space="preserve"> the</w:t>
      </w:r>
      <w:r w:rsidR="00FF3074">
        <w:rPr>
          <w:lang w:val="en-GB" w:eastAsia="x-none"/>
        </w:rPr>
        <w:t xml:space="preserve"> UL</w:t>
      </w:r>
      <w:r w:rsidR="00323DF0">
        <w:rPr>
          <w:lang w:val="en-GB" w:eastAsia="x-none"/>
        </w:rPr>
        <w:t xml:space="preserve"> grant may not have enough space</w:t>
      </w:r>
      <w:r w:rsidR="00FF3074">
        <w:rPr>
          <w:lang w:val="en-GB" w:eastAsia="x-none"/>
        </w:rPr>
        <w:t xml:space="preserve"> to transmit more data</w:t>
      </w:r>
      <w:r>
        <w:rPr>
          <w:lang w:val="en-GB" w:eastAsia="x-none"/>
        </w:rPr>
        <w:t xml:space="preserve">. This will </w:t>
      </w:r>
      <w:r w:rsidR="00B45D2C">
        <w:rPr>
          <w:lang w:val="en-GB" w:eastAsia="x-none"/>
        </w:rPr>
        <w:t xml:space="preserve">cause </w:t>
      </w:r>
      <w:r>
        <w:rPr>
          <w:lang w:val="en-GB" w:eastAsia="x-none"/>
        </w:rPr>
        <w:t>the UE to start a scheduling request</w:t>
      </w:r>
      <w:r w:rsidR="00B45D2C">
        <w:rPr>
          <w:lang w:val="en-GB" w:eastAsia="x-none"/>
        </w:rPr>
        <w:t xml:space="preserve"> after the expiry of the </w:t>
      </w:r>
      <w:r w:rsidR="00D64C63" w:rsidRPr="00464BC3">
        <w:rPr>
          <w:i/>
          <w:lang w:val="en-GB" w:eastAsia="x-none"/>
        </w:rPr>
        <w:t>retxBSR-Timer</w:t>
      </w:r>
      <w:r>
        <w:rPr>
          <w:lang w:val="en-GB" w:eastAsia="x-none"/>
        </w:rPr>
        <w:t xml:space="preserve">. </w:t>
      </w:r>
    </w:p>
    <w:p w14:paraId="5EBDA67A" w14:textId="40F4B79D" w:rsidR="002426E4" w:rsidRPr="00E339DC" w:rsidRDefault="00323DF0" w:rsidP="00FB18EF">
      <w:pPr>
        <w:rPr>
          <w:lang w:val="en-GB" w:eastAsia="x-none"/>
        </w:rPr>
      </w:pPr>
      <w:r>
        <w:rPr>
          <w:lang w:val="en-GB" w:eastAsia="x-none"/>
        </w:rPr>
        <w:t>This issue can be resolved by configuring shorter</w:t>
      </w:r>
      <w:r w:rsidR="00464BC3">
        <w:rPr>
          <w:lang w:val="en-GB" w:eastAsia="x-none"/>
        </w:rPr>
        <w:t xml:space="preserve"> </w:t>
      </w:r>
      <w:r w:rsidR="00D64C63" w:rsidRPr="00464BC3">
        <w:rPr>
          <w:i/>
          <w:lang w:val="en-GB" w:eastAsia="x-none"/>
        </w:rPr>
        <w:t>retxBSR-Timer</w:t>
      </w:r>
      <w:r>
        <w:rPr>
          <w:lang w:val="en-GB" w:eastAsia="x-none"/>
        </w:rPr>
        <w:t xml:space="preserve"> but </w:t>
      </w:r>
      <w:r w:rsidR="00D64C63">
        <w:rPr>
          <w:lang w:val="en-GB" w:eastAsia="x-none"/>
        </w:rPr>
        <w:t xml:space="preserve">frequent SR triggering may not be desirable. </w:t>
      </w:r>
      <w:r w:rsidR="00340FD6">
        <w:rPr>
          <w:lang w:val="en-GB" w:eastAsia="x-none"/>
        </w:rPr>
        <w:t xml:space="preserve">However, for URLLC service to meet the latency requirement, </w:t>
      </w:r>
      <w:r w:rsidR="00533C18">
        <w:rPr>
          <w:lang w:val="en-GB" w:eastAsia="x-none"/>
        </w:rPr>
        <w:t>new</w:t>
      </w:r>
      <w:r w:rsidR="00340FD6">
        <w:rPr>
          <w:lang w:val="en-GB" w:eastAsia="x-none"/>
        </w:rPr>
        <w:t xml:space="preserve"> </w:t>
      </w:r>
      <w:r w:rsidR="00E339DC" w:rsidRPr="00464BC3">
        <w:rPr>
          <w:i/>
          <w:lang w:val="en-GB" w:eastAsia="x-none"/>
        </w:rPr>
        <w:t>retxBSR-Timer</w:t>
      </w:r>
      <w:r w:rsidR="00E339DC">
        <w:rPr>
          <w:lang w:val="en-GB" w:eastAsia="x-none"/>
        </w:rPr>
        <w:t xml:space="preserve"> </w:t>
      </w:r>
      <w:r w:rsidR="00340FD6">
        <w:rPr>
          <w:lang w:val="en-GB" w:eastAsia="x-none"/>
        </w:rPr>
        <w:t>can be defined and used with shorter periodicity</w:t>
      </w:r>
      <w:r w:rsidR="00D64C63">
        <w:rPr>
          <w:lang w:val="en-GB" w:eastAsia="x-none"/>
        </w:rPr>
        <w:t xml:space="preserve"> for a LCH associated with the URLLC service</w:t>
      </w:r>
      <w:r w:rsidR="00340FD6">
        <w:rPr>
          <w:lang w:val="en-GB" w:eastAsia="x-none"/>
        </w:rPr>
        <w:t xml:space="preserve">. The legacy </w:t>
      </w:r>
      <w:r w:rsidR="00E339DC" w:rsidRPr="00464BC3">
        <w:rPr>
          <w:i/>
          <w:lang w:val="en-GB" w:eastAsia="x-none"/>
        </w:rPr>
        <w:t>retxBSR-Timer</w:t>
      </w:r>
      <w:r w:rsidR="00E339DC">
        <w:rPr>
          <w:lang w:val="en-GB" w:eastAsia="x-none"/>
        </w:rPr>
        <w:t xml:space="preserve"> </w:t>
      </w:r>
      <w:r w:rsidR="00340FD6">
        <w:rPr>
          <w:lang w:val="en-GB" w:eastAsia="x-none"/>
        </w:rPr>
        <w:t xml:space="preserve">can be used for other services with longer periodicity. </w:t>
      </w:r>
      <w:r w:rsidR="00FF3074">
        <w:rPr>
          <w:lang w:val="en-GB" w:eastAsia="x-none"/>
        </w:rPr>
        <w:t>On the other hand, s</w:t>
      </w:r>
      <w:r w:rsidR="000D7328">
        <w:rPr>
          <w:lang w:val="en-GB" w:eastAsia="x-none"/>
        </w:rPr>
        <w:t>imilar</w:t>
      </w:r>
      <w:r w:rsidR="00E339DC">
        <w:rPr>
          <w:lang w:val="en-GB" w:eastAsia="x-none"/>
        </w:rPr>
        <w:t xml:space="preserve"> </w:t>
      </w:r>
      <w:r w:rsidR="00FF3074">
        <w:rPr>
          <w:lang w:val="en-GB" w:eastAsia="x-none"/>
        </w:rPr>
        <w:t xml:space="preserve">to </w:t>
      </w:r>
      <w:r w:rsidR="00E339DC">
        <w:rPr>
          <w:lang w:val="en-GB" w:eastAsia="x-none"/>
        </w:rPr>
        <w:t xml:space="preserve">shorter </w:t>
      </w:r>
      <w:r w:rsidR="00E339DC" w:rsidRPr="002F4F3B">
        <w:rPr>
          <w:i/>
          <w:noProof/>
        </w:rPr>
        <w:t>periodicBSR-Timer</w:t>
      </w:r>
      <w:r w:rsidR="00FF3074">
        <w:rPr>
          <w:i/>
          <w:noProof/>
        </w:rPr>
        <w:t xml:space="preserve">, </w:t>
      </w:r>
      <w:r w:rsidR="00E339DC">
        <w:rPr>
          <w:noProof/>
        </w:rPr>
        <w:t>generation of BSR MAC CE</w:t>
      </w:r>
      <w:r w:rsidR="00CA24A3">
        <w:rPr>
          <w:noProof/>
        </w:rPr>
        <w:t xml:space="preserve"> for each UL grant may not</w:t>
      </w:r>
      <w:r w:rsidR="00E339DC">
        <w:rPr>
          <w:noProof/>
        </w:rPr>
        <w:t xml:space="preserve"> also </w:t>
      </w:r>
      <w:r w:rsidR="00CA24A3">
        <w:rPr>
          <w:noProof/>
        </w:rPr>
        <w:t>be</w:t>
      </w:r>
      <w:r w:rsidR="00E339DC">
        <w:rPr>
          <w:noProof/>
        </w:rPr>
        <w:t xml:space="preserve"> desirable.</w:t>
      </w:r>
    </w:p>
    <w:p w14:paraId="30941541" w14:textId="5BF9F811" w:rsidR="002426E4" w:rsidRDefault="00080F13" w:rsidP="002426E4">
      <w:pPr>
        <w:rPr>
          <w:lang w:val="en-GB" w:eastAsia="x-none"/>
        </w:rPr>
      </w:pPr>
      <w:r>
        <w:rPr>
          <w:lang w:val="en-GB" w:eastAsia="x-none"/>
        </w:rPr>
        <w:t>In other option,</w:t>
      </w:r>
      <w:r w:rsidR="00853AC5">
        <w:rPr>
          <w:lang w:val="en-GB" w:eastAsia="x-none"/>
        </w:rPr>
        <w:t xml:space="preserve"> a new BSR triggering condition can be defined.</w:t>
      </w:r>
      <w:r w:rsidR="00340FD6">
        <w:rPr>
          <w:lang w:val="en-GB" w:eastAsia="x-none"/>
        </w:rPr>
        <w:t xml:space="preserve"> </w:t>
      </w:r>
      <w:r w:rsidR="00AF35EE">
        <w:rPr>
          <w:lang w:val="en-GB" w:eastAsia="x-none"/>
        </w:rPr>
        <w:t xml:space="preserve">A regular </w:t>
      </w:r>
      <w:r w:rsidR="00340FD6">
        <w:rPr>
          <w:lang w:val="en-GB" w:eastAsia="x-none"/>
        </w:rPr>
        <w:t xml:space="preserve">BSR is always triggered if new </w:t>
      </w:r>
      <w:r w:rsidR="007D6EAC">
        <w:rPr>
          <w:lang w:val="en-GB" w:eastAsia="x-none"/>
        </w:rPr>
        <w:t xml:space="preserve">UL </w:t>
      </w:r>
      <w:r w:rsidR="00340FD6">
        <w:rPr>
          <w:lang w:val="en-GB" w:eastAsia="x-none"/>
        </w:rPr>
        <w:t xml:space="preserve">data </w:t>
      </w:r>
      <w:r w:rsidR="007D6EAC">
        <w:rPr>
          <w:lang w:val="en-GB" w:eastAsia="x-none"/>
        </w:rPr>
        <w:t>becomes available</w:t>
      </w:r>
      <w:r w:rsidR="00340FD6">
        <w:rPr>
          <w:lang w:val="en-GB" w:eastAsia="x-none"/>
        </w:rPr>
        <w:t xml:space="preserve"> in the logical channel of a LCG belonging to the URLLC service</w:t>
      </w:r>
      <w:r w:rsidR="007D6EAC">
        <w:rPr>
          <w:lang w:val="en-GB" w:eastAsia="x-none"/>
        </w:rPr>
        <w:t xml:space="preserve"> regardless of its priorities or </w:t>
      </w:r>
      <w:r w:rsidR="00EE46E9">
        <w:rPr>
          <w:lang w:val="en-GB" w:eastAsia="x-none"/>
        </w:rPr>
        <w:t xml:space="preserve">prior </w:t>
      </w:r>
      <w:r w:rsidR="007D6EAC">
        <w:rPr>
          <w:lang w:val="en-GB" w:eastAsia="x-none"/>
        </w:rPr>
        <w:t>data availability</w:t>
      </w:r>
      <w:r w:rsidR="00340FD6">
        <w:rPr>
          <w:lang w:val="en-GB" w:eastAsia="x-none"/>
        </w:rPr>
        <w:t>.</w:t>
      </w:r>
      <w:r w:rsidR="002426E4">
        <w:rPr>
          <w:lang w:val="en-GB" w:eastAsia="x-none"/>
        </w:rPr>
        <w:t xml:space="preserve"> However, it is possible that network can also over-allocate </w:t>
      </w:r>
      <w:r w:rsidR="00533C18">
        <w:rPr>
          <w:lang w:val="en-GB" w:eastAsia="x-none"/>
        </w:rPr>
        <w:t xml:space="preserve">UL </w:t>
      </w:r>
      <w:r w:rsidR="002426E4">
        <w:rPr>
          <w:lang w:val="en-GB" w:eastAsia="x-none"/>
        </w:rPr>
        <w:t>grant for higher priority LCG. Then it is possible for UE to send more data or BSR padding.</w:t>
      </w:r>
    </w:p>
    <w:p w14:paraId="7DBFDA61" w14:textId="1FAE806A" w:rsidR="00FB51DC" w:rsidRDefault="00F02DD3" w:rsidP="00FB51DC">
      <w:pPr>
        <w:pStyle w:val="Recommend-1"/>
        <w:rPr>
          <w:lang w:val="en-GB"/>
        </w:rPr>
      </w:pPr>
      <w:bookmarkStart w:id="168" w:name="_Toc477535815"/>
      <w:bookmarkStart w:id="169" w:name="_Toc477684808"/>
      <w:bookmarkStart w:id="170" w:name="_Toc478032676"/>
      <w:bookmarkStart w:id="171" w:name="_Toc478033014"/>
      <w:bookmarkStart w:id="172" w:name="_Toc478033095"/>
      <w:bookmarkStart w:id="173" w:name="_Toc478033489"/>
      <w:bookmarkStart w:id="174" w:name="_Toc478116632"/>
      <w:bookmarkStart w:id="175" w:name="_Toc478131484"/>
      <w:bookmarkStart w:id="176" w:name="_Toc478156362"/>
      <w:bookmarkStart w:id="177" w:name="_Toc478158695"/>
      <w:bookmarkStart w:id="178" w:name="_Toc478160185"/>
      <w:bookmarkStart w:id="179" w:name="_Toc481162382"/>
      <w:bookmarkStart w:id="180" w:name="_Toc481162477"/>
      <w:bookmarkStart w:id="181" w:name="_Toc481398536"/>
      <w:bookmarkStart w:id="182" w:name="_Toc481399556"/>
      <w:bookmarkStart w:id="183" w:name="_Toc481408648"/>
      <w:bookmarkStart w:id="184" w:name="_Toc481784861"/>
      <w:bookmarkStart w:id="185" w:name="_Toc481790199"/>
      <w:r>
        <w:rPr>
          <w:lang w:val="en-GB"/>
        </w:rPr>
        <w:t xml:space="preserve">LTE baseline </w:t>
      </w:r>
      <w:r w:rsidR="00FB51DC">
        <w:rPr>
          <w:lang w:val="en-GB"/>
        </w:rPr>
        <w:t xml:space="preserve">BSR triggering condition is </w:t>
      </w:r>
      <w:r>
        <w:rPr>
          <w:lang w:val="en-GB"/>
        </w:rPr>
        <w:t>considered</w:t>
      </w:r>
      <w:r w:rsidR="00FB51DC">
        <w:rPr>
          <w:lang w:val="en-GB"/>
        </w:rPr>
        <w:t xml:space="preserve"> in NR.</w:t>
      </w:r>
      <w:bookmarkEnd w:id="168"/>
      <w:bookmarkEnd w:id="169"/>
      <w:bookmarkEnd w:id="170"/>
      <w:bookmarkEnd w:id="171"/>
      <w:bookmarkEnd w:id="172"/>
      <w:bookmarkEnd w:id="173"/>
      <w:bookmarkEnd w:id="174"/>
      <w:bookmarkEnd w:id="175"/>
      <w:bookmarkEnd w:id="176"/>
      <w:bookmarkEnd w:id="177"/>
      <w:bookmarkEnd w:id="178"/>
      <w:r w:rsidR="007D6EAC">
        <w:rPr>
          <w:lang w:val="en-GB"/>
        </w:rPr>
        <w:t xml:space="preserve"> </w:t>
      </w:r>
      <w:r w:rsidR="0052663F">
        <w:rPr>
          <w:lang w:val="en-GB"/>
        </w:rPr>
        <w:t>RAN2 discuss</w:t>
      </w:r>
      <w:r w:rsidR="007D6EAC">
        <w:rPr>
          <w:lang w:val="en-GB"/>
        </w:rPr>
        <w:t xml:space="preserve"> </w:t>
      </w:r>
      <w:r w:rsidR="00B90AA4">
        <w:rPr>
          <w:lang w:val="en-GB"/>
        </w:rPr>
        <w:t>if new</w:t>
      </w:r>
      <w:r w:rsidR="007D6EAC">
        <w:rPr>
          <w:lang w:val="en-GB"/>
        </w:rPr>
        <w:t xml:space="preserve"> BSR triggering </w:t>
      </w:r>
      <w:r w:rsidR="00533C18">
        <w:rPr>
          <w:lang w:val="en-GB"/>
        </w:rPr>
        <w:t>timer/</w:t>
      </w:r>
      <w:r w:rsidR="00B90AA4">
        <w:rPr>
          <w:lang w:val="en-GB"/>
        </w:rPr>
        <w:t>condition is needed</w:t>
      </w:r>
      <w:r w:rsidR="007D6EAC">
        <w:rPr>
          <w:lang w:val="en-GB"/>
        </w:rPr>
        <w:t xml:space="preserve"> for the </w:t>
      </w:r>
      <w:r w:rsidR="00B90AA4">
        <w:rPr>
          <w:lang w:val="en-GB"/>
        </w:rPr>
        <w:t>URLLC services.</w:t>
      </w:r>
      <w:bookmarkEnd w:id="179"/>
      <w:bookmarkEnd w:id="180"/>
      <w:bookmarkEnd w:id="181"/>
      <w:bookmarkEnd w:id="182"/>
      <w:bookmarkEnd w:id="183"/>
      <w:bookmarkEnd w:id="184"/>
      <w:bookmarkEnd w:id="185"/>
    </w:p>
    <w:p w14:paraId="6E244F3F" w14:textId="77777777" w:rsidR="003F5E77" w:rsidRDefault="003F5E77" w:rsidP="003F5E77">
      <w:pPr>
        <w:pStyle w:val="Heading1"/>
        <w:rPr>
          <w:rFonts w:cs="Arial"/>
        </w:rPr>
      </w:pPr>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5C5B199F" w14:textId="77777777" w:rsidR="00DC77EB"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DC77EB" w:rsidRPr="001E16A2">
        <w:rPr>
          <w:rFonts w:ascii="Times New Roman Bold" w:hAnsi="Times New Roman Bold"/>
          <w:b/>
          <w:noProof/>
        </w:rPr>
        <w:t>Observation 1</w:t>
      </w:r>
      <w:r w:rsidR="00DC77EB">
        <w:rPr>
          <w:noProof/>
        </w:rPr>
        <w:t xml:space="preserve"> Due to the variety of services (eMBB, URLLC etc.) supported by NR, it is beneficial for the eNB scheduler to know the priority of the SR which allows the gNB to prioritize UL resources among the UEs.</w:t>
      </w:r>
    </w:p>
    <w:p w14:paraId="2DF2D569" w14:textId="77777777" w:rsidR="00DC77EB" w:rsidRDefault="00DC77EB">
      <w:pPr>
        <w:pStyle w:val="TOC1"/>
        <w:tabs>
          <w:tab w:val="right" w:leader="dot" w:pos="9350"/>
        </w:tabs>
        <w:rPr>
          <w:rFonts w:asciiTheme="minorHAnsi" w:eastAsiaTheme="minorEastAsia" w:hAnsiTheme="minorHAnsi" w:cstheme="minorBidi"/>
          <w:noProof/>
          <w:sz w:val="22"/>
          <w:szCs w:val="22"/>
        </w:rPr>
      </w:pPr>
      <w:r w:rsidRPr="001E16A2">
        <w:rPr>
          <w:rFonts w:ascii="Times New Roman Bold" w:hAnsi="Times New Roman Bold"/>
          <w:b/>
          <w:noProof/>
        </w:rPr>
        <w:t>Observation 2</w:t>
      </w:r>
      <w:r>
        <w:rPr>
          <w:noProof/>
        </w:rPr>
        <w:t xml:space="preserve"> The enhanced SR could carry information required for gNB to distinguish at least the LCG of a LCH that triggered the SR.</w:t>
      </w:r>
    </w:p>
    <w:p w14:paraId="57F1DF28" w14:textId="77777777" w:rsidR="00DC77EB" w:rsidRDefault="00DC77EB">
      <w:pPr>
        <w:pStyle w:val="TOC1"/>
        <w:tabs>
          <w:tab w:val="right" w:leader="dot" w:pos="9350"/>
        </w:tabs>
        <w:rPr>
          <w:rFonts w:asciiTheme="minorHAnsi" w:eastAsiaTheme="minorEastAsia" w:hAnsiTheme="minorHAnsi" w:cstheme="minorBidi"/>
          <w:noProof/>
          <w:sz w:val="22"/>
          <w:szCs w:val="22"/>
        </w:rPr>
      </w:pPr>
      <w:r w:rsidRPr="001E16A2">
        <w:rPr>
          <w:rFonts w:ascii="Times New Roman Bold" w:hAnsi="Times New Roman Bold"/>
          <w:b/>
          <w:noProof/>
        </w:rPr>
        <w:lastRenderedPageBreak/>
        <w:t>Observation 3</w:t>
      </w:r>
      <w:r>
        <w:rPr>
          <w:noProof/>
        </w:rPr>
        <w:t xml:space="preserve"> 2 to 4 levels of differentiation can be considered in SR.</w:t>
      </w:r>
    </w:p>
    <w:p w14:paraId="750ADC57" w14:textId="77777777" w:rsidR="00DC77EB" w:rsidRDefault="00DC77EB">
      <w:pPr>
        <w:pStyle w:val="TOC1"/>
        <w:tabs>
          <w:tab w:val="right" w:leader="dot" w:pos="9350"/>
        </w:tabs>
        <w:rPr>
          <w:rFonts w:asciiTheme="minorHAnsi" w:eastAsiaTheme="minorEastAsia" w:hAnsiTheme="minorHAnsi" w:cstheme="minorBidi"/>
          <w:noProof/>
          <w:sz w:val="22"/>
          <w:szCs w:val="22"/>
        </w:rPr>
      </w:pPr>
      <w:r w:rsidRPr="001E16A2">
        <w:rPr>
          <w:rFonts w:ascii="Times New Roman Bold" w:hAnsi="Times New Roman Bold"/>
          <w:b/>
          <w:noProof/>
        </w:rPr>
        <w:t>Observation 4</w:t>
      </w:r>
      <w:r>
        <w:rPr>
          <w:noProof/>
        </w:rPr>
        <w:t xml:space="preserve"> In terms of resource efficiency and reliability, multiple SR configuration is better than multi-bit SR for LCG indication when a UE supports at least eMBB services.</w:t>
      </w:r>
    </w:p>
    <w:p w14:paraId="3CB3FB81" w14:textId="77777777" w:rsidR="00DC77EB" w:rsidRDefault="00DC77EB">
      <w:pPr>
        <w:pStyle w:val="TOC1"/>
        <w:tabs>
          <w:tab w:val="right" w:leader="dot" w:pos="9350"/>
        </w:tabs>
        <w:rPr>
          <w:rFonts w:asciiTheme="minorHAnsi" w:eastAsiaTheme="minorEastAsia" w:hAnsiTheme="minorHAnsi" w:cstheme="minorBidi"/>
          <w:noProof/>
          <w:sz w:val="22"/>
          <w:szCs w:val="22"/>
        </w:rPr>
      </w:pPr>
      <w:r w:rsidRPr="001E16A2">
        <w:rPr>
          <w:rFonts w:ascii="Times New Roman Bold" w:hAnsi="Times New Roman Bold"/>
          <w:b/>
          <w:noProof/>
        </w:rPr>
        <w:t>Observation 5</w:t>
      </w:r>
      <w:r>
        <w:rPr>
          <w:noProof/>
        </w:rPr>
        <w:t xml:space="preserve"> The network can estimate the size of UL grant based on coarse buffer status information carried by the SR.</w:t>
      </w:r>
    </w:p>
    <w:p w14:paraId="5FC44E1E" w14:textId="77777777" w:rsidR="00DC77EB" w:rsidRDefault="00DC77EB">
      <w:pPr>
        <w:pStyle w:val="TOC1"/>
        <w:tabs>
          <w:tab w:val="right" w:leader="dot" w:pos="9350"/>
        </w:tabs>
        <w:rPr>
          <w:rFonts w:asciiTheme="minorHAnsi" w:eastAsiaTheme="minorEastAsia" w:hAnsiTheme="minorHAnsi" w:cstheme="minorBidi"/>
          <w:noProof/>
          <w:sz w:val="22"/>
          <w:szCs w:val="22"/>
        </w:rPr>
      </w:pPr>
      <w:r w:rsidRPr="001E16A2">
        <w:rPr>
          <w:rFonts w:ascii="Times New Roman Bold" w:hAnsi="Times New Roman Bold"/>
          <w:b/>
          <w:noProof/>
        </w:rPr>
        <w:t>Observation 6</w:t>
      </w:r>
      <w:r>
        <w:rPr>
          <w:noProof/>
        </w:rPr>
        <w:t xml:space="preserve"> BSR may not need to carry explicit information specific to numerology/TTI length as this can be implied by the LCG as it is up to the network to map a logical channel to a particular numerology/TTI length.</w:t>
      </w:r>
    </w:p>
    <w:p w14:paraId="08F5AEF7" w14:textId="77777777" w:rsidR="00DC77EB" w:rsidRDefault="00DC77EB">
      <w:pPr>
        <w:pStyle w:val="TOC1"/>
        <w:tabs>
          <w:tab w:val="right" w:leader="dot" w:pos="9350"/>
        </w:tabs>
        <w:rPr>
          <w:rFonts w:asciiTheme="minorHAnsi" w:eastAsiaTheme="minorEastAsia" w:hAnsiTheme="minorHAnsi" w:cstheme="minorBidi"/>
          <w:noProof/>
          <w:sz w:val="22"/>
          <w:szCs w:val="22"/>
        </w:rPr>
      </w:pPr>
      <w:r w:rsidRPr="001E16A2">
        <w:rPr>
          <w:rFonts w:ascii="Times New Roman Bold" w:hAnsi="Times New Roman Bold"/>
          <w:b/>
          <w:noProof/>
        </w:rPr>
        <w:t>Observation 7</w:t>
      </w:r>
      <w:r>
        <w:rPr>
          <w:noProof/>
        </w:rPr>
        <w:t xml:space="preserve"> Higher number of LCGs than supported in LTE can be defined for supporting finer granularity of priorities of data to be reported in BSR.</w:t>
      </w:r>
    </w:p>
    <w:p w14:paraId="5445F9F1" w14:textId="77777777" w:rsidR="00DC77EB" w:rsidRDefault="00DC77EB">
      <w:pPr>
        <w:pStyle w:val="TOC1"/>
        <w:tabs>
          <w:tab w:val="right" w:leader="dot" w:pos="9350"/>
        </w:tabs>
        <w:rPr>
          <w:rFonts w:asciiTheme="minorHAnsi" w:eastAsiaTheme="minorEastAsia" w:hAnsiTheme="minorHAnsi" w:cstheme="minorBidi"/>
          <w:noProof/>
          <w:sz w:val="22"/>
          <w:szCs w:val="22"/>
        </w:rPr>
      </w:pPr>
      <w:r w:rsidRPr="001E16A2">
        <w:rPr>
          <w:rFonts w:ascii="Times New Roman Bold" w:hAnsi="Times New Roman Bold"/>
          <w:b/>
          <w:noProof/>
        </w:rPr>
        <w:t>Observation 8</w:t>
      </w:r>
      <w:r>
        <w:rPr>
          <w:noProof/>
        </w:rPr>
        <w:t xml:space="preserve"> Currently supported 4 LCGs can be baseline for NR. More number of LCGs to be reported in BSR may be considered if there is demand to have finer granularity.</w:t>
      </w:r>
    </w:p>
    <w:p w14:paraId="1B9285F1" w14:textId="77777777" w:rsidR="00DC77EB" w:rsidRDefault="00DC77EB">
      <w:pPr>
        <w:pStyle w:val="TOC1"/>
        <w:tabs>
          <w:tab w:val="right" w:leader="dot" w:pos="9350"/>
        </w:tabs>
        <w:rPr>
          <w:rFonts w:asciiTheme="minorHAnsi" w:eastAsiaTheme="minorEastAsia" w:hAnsiTheme="minorHAnsi" w:cstheme="minorBidi"/>
          <w:noProof/>
          <w:sz w:val="22"/>
          <w:szCs w:val="22"/>
        </w:rPr>
      </w:pPr>
      <w:r w:rsidRPr="001E16A2">
        <w:rPr>
          <w:rFonts w:ascii="Times New Roman Bold" w:hAnsi="Times New Roman Bold"/>
          <w:b/>
          <w:noProof/>
        </w:rPr>
        <w:t>Observation 9</w:t>
      </w:r>
      <w:r>
        <w:rPr>
          <w:noProof/>
        </w:rPr>
        <w:t xml:space="preserve"> If more number of LCGs to be reported in BSR are necessary, new flexible and efficient BSR formats enabling reporting of larger number of types/priorities of data will be required.</w:t>
      </w:r>
    </w:p>
    <w:p w14:paraId="04F297AF" w14:textId="76A856BB"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these </w:t>
      </w:r>
      <w:r w:rsidRPr="0006424E">
        <w:rPr>
          <w:noProof/>
          <w:lang w:val="en-GB"/>
        </w:rPr>
        <w:t>observations</w:t>
      </w:r>
      <w:r>
        <w:rPr>
          <w:noProof/>
          <w:lang w:val="en-GB"/>
        </w:rPr>
        <w:t xml:space="preserve"> and discussion</w:t>
      </w:r>
      <w:r w:rsidRPr="0006424E">
        <w:rPr>
          <w:noProof/>
          <w:lang w:val="en-GB"/>
        </w:rPr>
        <w:t>, we propose:</w:t>
      </w:r>
    </w:p>
    <w:p w14:paraId="7CB691F2" w14:textId="77777777" w:rsidR="00DC77EB"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DC77EB" w:rsidRPr="00C97F38">
        <w:rPr>
          <w:b/>
          <w:noProof/>
        </w:rPr>
        <w:t>Proposal 1.</w:t>
      </w:r>
      <w:r w:rsidR="00DC77EB">
        <w:rPr>
          <w:rFonts w:asciiTheme="minorHAnsi" w:eastAsiaTheme="minorEastAsia" w:hAnsiTheme="minorHAnsi" w:cstheme="minorBidi"/>
          <w:noProof/>
          <w:sz w:val="22"/>
          <w:szCs w:val="22"/>
        </w:rPr>
        <w:tab/>
      </w:r>
      <w:r w:rsidR="00DC77EB">
        <w:rPr>
          <w:noProof/>
        </w:rPr>
        <w:t>An enhanced SR distinguishes the LCG of a LCH that triggered the SR to imply numerology/TTI or high/low priority of the LCH.</w:t>
      </w:r>
    </w:p>
    <w:p w14:paraId="0309DD0A" w14:textId="77777777" w:rsidR="00DC77EB" w:rsidRDefault="00DC77EB">
      <w:pPr>
        <w:pStyle w:val="TOC1"/>
        <w:tabs>
          <w:tab w:val="left" w:pos="1320"/>
          <w:tab w:val="right" w:leader="dot" w:pos="9350"/>
        </w:tabs>
        <w:rPr>
          <w:rFonts w:asciiTheme="minorHAnsi" w:eastAsiaTheme="minorEastAsia" w:hAnsiTheme="minorHAnsi" w:cstheme="minorBidi"/>
          <w:noProof/>
          <w:sz w:val="22"/>
          <w:szCs w:val="22"/>
        </w:rPr>
      </w:pPr>
      <w:r w:rsidRPr="00C97F38">
        <w:rPr>
          <w:b/>
          <w:noProof/>
        </w:rPr>
        <w:t>Proposal 2.</w:t>
      </w:r>
      <w:r>
        <w:rPr>
          <w:rFonts w:asciiTheme="minorHAnsi" w:eastAsiaTheme="minorEastAsia" w:hAnsiTheme="minorHAnsi" w:cstheme="minorBidi"/>
          <w:noProof/>
          <w:sz w:val="22"/>
          <w:szCs w:val="22"/>
        </w:rPr>
        <w:tab/>
      </w:r>
      <w:r>
        <w:rPr>
          <w:noProof/>
        </w:rPr>
        <w:t>Multiple SR configuration(s) is considered to achieve the SR enhancement. It can be further discussed on the number of SR configurations supported.</w:t>
      </w:r>
    </w:p>
    <w:p w14:paraId="2C71804E" w14:textId="77777777" w:rsidR="00DC77EB" w:rsidRDefault="00DC77EB">
      <w:pPr>
        <w:pStyle w:val="TOC1"/>
        <w:tabs>
          <w:tab w:val="left" w:pos="1320"/>
          <w:tab w:val="right" w:leader="dot" w:pos="9350"/>
        </w:tabs>
        <w:rPr>
          <w:rFonts w:asciiTheme="minorHAnsi" w:eastAsiaTheme="minorEastAsia" w:hAnsiTheme="minorHAnsi" w:cstheme="minorBidi"/>
          <w:noProof/>
          <w:sz w:val="22"/>
          <w:szCs w:val="22"/>
        </w:rPr>
      </w:pPr>
      <w:r w:rsidRPr="00C97F38">
        <w:rPr>
          <w:b/>
          <w:noProof/>
        </w:rPr>
        <w:t>Proposal 3.</w:t>
      </w:r>
      <w:r>
        <w:rPr>
          <w:rFonts w:asciiTheme="minorHAnsi" w:eastAsiaTheme="minorEastAsia" w:hAnsiTheme="minorHAnsi" w:cstheme="minorBidi"/>
          <w:noProof/>
          <w:sz w:val="22"/>
          <w:szCs w:val="22"/>
        </w:rPr>
        <w:tab/>
      </w:r>
      <w:r>
        <w:rPr>
          <w:noProof/>
        </w:rPr>
        <w:t>Multi-bit SR can be considered as an enhancement to meet a latency requirement of a URLLC service by carrying the coarse BSR only in the resources exclusively allocated for the LCG of a LCH belonging to the service.</w:t>
      </w:r>
    </w:p>
    <w:p w14:paraId="1954089B" w14:textId="77777777" w:rsidR="00DC77EB" w:rsidRDefault="00DC77EB">
      <w:pPr>
        <w:pStyle w:val="TOC1"/>
        <w:tabs>
          <w:tab w:val="left" w:pos="1320"/>
          <w:tab w:val="right" w:leader="dot" w:pos="9350"/>
        </w:tabs>
        <w:rPr>
          <w:rFonts w:asciiTheme="minorHAnsi" w:eastAsiaTheme="minorEastAsia" w:hAnsiTheme="minorHAnsi" w:cstheme="minorBidi"/>
          <w:noProof/>
          <w:sz w:val="22"/>
          <w:szCs w:val="22"/>
        </w:rPr>
      </w:pPr>
      <w:r w:rsidRPr="00C97F38">
        <w:rPr>
          <w:b/>
          <w:noProof/>
        </w:rPr>
        <w:t>Proposal 4.</w:t>
      </w:r>
      <w:r>
        <w:rPr>
          <w:rFonts w:asciiTheme="minorHAnsi" w:eastAsiaTheme="minorEastAsia" w:hAnsiTheme="minorHAnsi" w:cstheme="minorBidi"/>
          <w:noProof/>
          <w:sz w:val="22"/>
          <w:szCs w:val="22"/>
        </w:rPr>
        <w:tab/>
      </w:r>
      <w:r>
        <w:rPr>
          <w:noProof/>
        </w:rPr>
        <w:t>Four LCGs to be reported in BSR is baseline in NR. For more than four LCGs, more justification and discussions would be required.</w:t>
      </w:r>
    </w:p>
    <w:p w14:paraId="47DAEBBD" w14:textId="77777777" w:rsidR="00DC77EB" w:rsidRDefault="00DC77EB">
      <w:pPr>
        <w:pStyle w:val="TOC1"/>
        <w:tabs>
          <w:tab w:val="left" w:pos="1320"/>
          <w:tab w:val="right" w:leader="dot" w:pos="9350"/>
        </w:tabs>
        <w:rPr>
          <w:rFonts w:asciiTheme="minorHAnsi" w:eastAsiaTheme="minorEastAsia" w:hAnsiTheme="minorHAnsi" w:cstheme="minorBidi"/>
          <w:noProof/>
          <w:sz w:val="22"/>
          <w:szCs w:val="22"/>
        </w:rPr>
      </w:pPr>
      <w:r w:rsidRPr="00C97F38">
        <w:rPr>
          <w:b/>
          <w:noProof/>
          <w:lang w:val="en-GB"/>
        </w:rPr>
        <w:t>Proposal 5.</w:t>
      </w:r>
      <w:r>
        <w:rPr>
          <w:rFonts w:asciiTheme="minorHAnsi" w:eastAsiaTheme="minorEastAsia" w:hAnsiTheme="minorHAnsi" w:cstheme="minorBidi"/>
          <w:noProof/>
          <w:sz w:val="22"/>
          <w:szCs w:val="22"/>
        </w:rPr>
        <w:tab/>
      </w:r>
      <w:r w:rsidRPr="00C97F38">
        <w:rPr>
          <w:noProof/>
          <w:lang w:val="en-GB"/>
        </w:rPr>
        <w:t>LTE baseline BSR triggering condition is considered in NR. RAN2 discuss if new BSR triggering timer/condition is needed for the URLLC services.</w:t>
      </w:r>
    </w:p>
    <w:p w14:paraId="3E224C16" w14:textId="3A41B12B" w:rsidR="003F5E77" w:rsidRPr="00AE5D44" w:rsidRDefault="00DC20E1" w:rsidP="003F5E77">
      <w:pPr>
        <w:rPr>
          <w:sz w:val="28"/>
          <w:lang w:val="en-GB" w:eastAsia="x-none"/>
        </w:rPr>
      </w:pPr>
      <w:r>
        <w:rPr>
          <w:sz w:val="28"/>
          <w:lang w:val="en-GB" w:eastAsia="x-none"/>
        </w:rPr>
        <w:fldChar w:fldCharType="end"/>
      </w:r>
    </w:p>
    <w:p w14:paraId="44CDB911" w14:textId="77777777" w:rsidR="003F5E77" w:rsidRPr="00A66DAB" w:rsidRDefault="003F5E77" w:rsidP="003F5E77">
      <w:pPr>
        <w:pStyle w:val="Heading1"/>
        <w:rPr>
          <w:rFonts w:cs="Arial"/>
        </w:rPr>
      </w:pPr>
      <w:r w:rsidRPr="00A66DAB">
        <w:rPr>
          <w:rFonts w:cs="Arial"/>
        </w:rPr>
        <w:t>Reference</w:t>
      </w:r>
    </w:p>
    <w:bookmarkEnd w:id="3"/>
    <w:p w14:paraId="2341892F" w14:textId="2A1AAAC2" w:rsidR="003F5E77" w:rsidRPr="00A66DAB" w:rsidRDefault="00745B05" w:rsidP="003F5E77">
      <w:pPr>
        <w:rPr>
          <w:rFonts w:cs="Arial"/>
        </w:rPr>
      </w:pPr>
      <w:r>
        <w:rPr>
          <w:lang w:val="en-GB"/>
        </w:rPr>
        <w:t>[1</w:t>
      </w:r>
      <w:r w:rsidR="00DF2E76">
        <w:rPr>
          <w:lang w:val="en-GB"/>
        </w:rPr>
        <w:t xml:space="preserve">] </w:t>
      </w:r>
      <w:r>
        <w:t>Draft Report of 3GPP TSG RAN WG</w:t>
      </w:r>
      <w:r w:rsidR="00ED6478">
        <w:t>2 97bis meeting, Spokane, US, April 3</w:t>
      </w:r>
      <w:r w:rsidR="00ED6478" w:rsidRPr="00ED6478">
        <w:rPr>
          <w:vertAlign w:val="superscript"/>
        </w:rPr>
        <w:t>rd</w:t>
      </w:r>
      <w:r w:rsidR="00ED6478">
        <w:t xml:space="preserve"> </w:t>
      </w:r>
      <w:r>
        <w:t>-</w:t>
      </w:r>
      <w:r w:rsidR="00ED6478">
        <w:t>7</w:t>
      </w:r>
      <w:r w:rsidR="00ED6478" w:rsidRPr="00ED6478">
        <w:rPr>
          <w:vertAlign w:val="superscript"/>
        </w:rPr>
        <w:t>th</w:t>
      </w:r>
      <w:r w:rsidR="00ED6478">
        <w:t>,</w:t>
      </w:r>
      <w:r>
        <w:t xml:space="preserve"> 2017.</w:t>
      </w:r>
    </w:p>
    <w:p w14:paraId="243898E8" w14:textId="77777777" w:rsidR="0011560A" w:rsidRDefault="00DE25FB"/>
    <w:sectPr w:rsidR="0011560A" w:rsidSect="00A6463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9"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10"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9"/>
  </w:num>
  <w:num w:numId="3">
    <w:abstractNumId w:val="2"/>
  </w:num>
  <w:num w:numId="4">
    <w:abstractNumId w:val="5"/>
  </w:num>
  <w:num w:numId="5">
    <w:abstractNumId w:val="8"/>
  </w:num>
  <w:num w:numId="6">
    <w:abstractNumId w:val="10"/>
  </w:num>
  <w:num w:numId="7">
    <w:abstractNumId w:val="5"/>
  </w:num>
  <w:num w:numId="8">
    <w:abstractNumId w:val="0"/>
  </w:num>
  <w:num w:numId="9">
    <w:abstractNumId w:val="1"/>
  </w:num>
  <w:num w:numId="10">
    <w:abstractNumId w:val="11"/>
  </w:num>
  <w:num w:numId="11">
    <w:abstractNumId w:val="6"/>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241F"/>
    <w:rsid w:val="000211D6"/>
    <w:rsid w:val="000215C7"/>
    <w:rsid w:val="000235D3"/>
    <w:rsid w:val="000314A6"/>
    <w:rsid w:val="0003347D"/>
    <w:rsid w:val="00040294"/>
    <w:rsid w:val="00040FEE"/>
    <w:rsid w:val="00041E0D"/>
    <w:rsid w:val="000467EB"/>
    <w:rsid w:val="00054672"/>
    <w:rsid w:val="000609C9"/>
    <w:rsid w:val="00061683"/>
    <w:rsid w:val="000708AA"/>
    <w:rsid w:val="00080F13"/>
    <w:rsid w:val="000921F5"/>
    <w:rsid w:val="0009517A"/>
    <w:rsid w:val="000D7328"/>
    <w:rsid w:val="000F2EF8"/>
    <w:rsid w:val="0010142B"/>
    <w:rsid w:val="001017AC"/>
    <w:rsid w:val="0012225E"/>
    <w:rsid w:val="001304C5"/>
    <w:rsid w:val="0014256C"/>
    <w:rsid w:val="00143200"/>
    <w:rsid w:val="001436B8"/>
    <w:rsid w:val="00144322"/>
    <w:rsid w:val="0015325E"/>
    <w:rsid w:val="001640E7"/>
    <w:rsid w:val="00165246"/>
    <w:rsid w:val="00166AC8"/>
    <w:rsid w:val="00172C07"/>
    <w:rsid w:val="00172C9B"/>
    <w:rsid w:val="001764F5"/>
    <w:rsid w:val="00176593"/>
    <w:rsid w:val="00184B2E"/>
    <w:rsid w:val="00187B2E"/>
    <w:rsid w:val="00195B12"/>
    <w:rsid w:val="001A0AC6"/>
    <w:rsid w:val="001C20BB"/>
    <w:rsid w:val="001C4272"/>
    <w:rsid w:val="001D0DFD"/>
    <w:rsid w:val="001E493A"/>
    <w:rsid w:val="001F1C93"/>
    <w:rsid w:val="001F31E3"/>
    <w:rsid w:val="001F5C6A"/>
    <w:rsid w:val="00214774"/>
    <w:rsid w:val="00231D4F"/>
    <w:rsid w:val="002426E4"/>
    <w:rsid w:val="00243C9C"/>
    <w:rsid w:val="00245748"/>
    <w:rsid w:val="00252C5C"/>
    <w:rsid w:val="002530FD"/>
    <w:rsid w:val="00265C6A"/>
    <w:rsid w:val="00276D2E"/>
    <w:rsid w:val="00283BAF"/>
    <w:rsid w:val="00297ED7"/>
    <w:rsid w:val="002A237B"/>
    <w:rsid w:val="002A7F76"/>
    <w:rsid w:val="002C59D2"/>
    <w:rsid w:val="002C7300"/>
    <w:rsid w:val="002D34F1"/>
    <w:rsid w:val="002E0215"/>
    <w:rsid w:val="002E600A"/>
    <w:rsid w:val="002F2D32"/>
    <w:rsid w:val="002F4198"/>
    <w:rsid w:val="003044EA"/>
    <w:rsid w:val="00323DF0"/>
    <w:rsid w:val="0034091B"/>
    <w:rsid w:val="00340FD6"/>
    <w:rsid w:val="00344CBF"/>
    <w:rsid w:val="0034505A"/>
    <w:rsid w:val="00347BF3"/>
    <w:rsid w:val="003836E3"/>
    <w:rsid w:val="00387A79"/>
    <w:rsid w:val="00390D9E"/>
    <w:rsid w:val="003A1EBB"/>
    <w:rsid w:val="003A218E"/>
    <w:rsid w:val="003B2E53"/>
    <w:rsid w:val="003C4942"/>
    <w:rsid w:val="003D2B70"/>
    <w:rsid w:val="003E6962"/>
    <w:rsid w:val="003F4991"/>
    <w:rsid w:val="003F5E77"/>
    <w:rsid w:val="00400A27"/>
    <w:rsid w:val="004019B7"/>
    <w:rsid w:val="00406CC5"/>
    <w:rsid w:val="004100E5"/>
    <w:rsid w:val="004107FE"/>
    <w:rsid w:val="00411685"/>
    <w:rsid w:val="0043017D"/>
    <w:rsid w:val="004353D0"/>
    <w:rsid w:val="00447E80"/>
    <w:rsid w:val="00455BC6"/>
    <w:rsid w:val="004570E9"/>
    <w:rsid w:val="00464BC3"/>
    <w:rsid w:val="0046592C"/>
    <w:rsid w:val="004748EF"/>
    <w:rsid w:val="004758A9"/>
    <w:rsid w:val="00480D86"/>
    <w:rsid w:val="00482C53"/>
    <w:rsid w:val="0048392F"/>
    <w:rsid w:val="004851FD"/>
    <w:rsid w:val="00485F98"/>
    <w:rsid w:val="00490E73"/>
    <w:rsid w:val="00494B8C"/>
    <w:rsid w:val="004A3560"/>
    <w:rsid w:val="004A39B8"/>
    <w:rsid w:val="004B592E"/>
    <w:rsid w:val="004C2267"/>
    <w:rsid w:val="004C6373"/>
    <w:rsid w:val="004D5BCE"/>
    <w:rsid w:val="004E1B82"/>
    <w:rsid w:val="004F4671"/>
    <w:rsid w:val="0052610A"/>
    <w:rsid w:val="0052663F"/>
    <w:rsid w:val="00533C18"/>
    <w:rsid w:val="00534787"/>
    <w:rsid w:val="005415E0"/>
    <w:rsid w:val="00542B4C"/>
    <w:rsid w:val="005542AC"/>
    <w:rsid w:val="00566E44"/>
    <w:rsid w:val="005744F4"/>
    <w:rsid w:val="00577F87"/>
    <w:rsid w:val="00595D86"/>
    <w:rsid w:val="005D16B4"/>
    <w:rsid w:val="005D3FA9"/>
    <w:rsid w:val="005D5067"/>
    <w:rsid w:val="005E0EDE"/>
    <w:rsid w:val="005E2B01"/>
    <w:rsid w:val="0061790A"/>
    <w:rsid w:val="006212B5"/>
    <w:rsid w:val="00632E56"/>
    <w:rsid w:val="0065344E"/>
    <w:rsid w:val="006544A0"/>
    <w:rsid w:val="00665B2F"/>
    <w:rsid w:val="00675028"/>
    <w:rsid w:val="006800F3"/>
    <w:rsid w:val="006942AD"/>
    <w:rsid w:val="006A2CD4"/>
    <w:rsid w:val="006A7B10"/>
    <w:rsid w:val="006B1377"/>
    <w:rsid w:val="006E56FE"/>
    <w:rsid w:val="006E68D8"/>
    <w:rsid w:val="006E7F24"/>
    <w:rsid w:val="006F185E"/>
    <w:rsid w:val="006F2B3D"/>
    <w:rsid w:val="006F3CA2"/>
    <w:rsid w:val="0071434C"/>
    <w:rsid w:val="00722AE0"/>
    <w:rsid w:val="00745B05"/>
    <w:rsid w:val="00760451"/>
    <w:rsid w:val="00781075"/>
    <w:rsid w:val="00787CF3"/>
    <w:rsid w:val="007A7883"/>
    <w:rsid w:val="007C3FC3"/>
    <w:rsid w:val="007D0A88"/>
    <w:rsid w:val="007D6EAC"/>
    <w:rsid w:val="007E12C5"/>
    <w:rsid w:val="007E44D1"/>
    <w:rsid w:val="007E4EE6"/>
    <w:rsid w:val="007F560A"/>
    <w:rsid w:val="007F610C"/>
    <w:rsid w:val="008038BB"/>
    <w:rsid w:val="008203D8"/>
    <w:rsid w:val="0082399A"/>
    <w:rsid w:val="008245C4"/>
    <w:rsid w:val="00826523"/>
    <w:rsid w:val="0083605C"/>
    <w:rsid w:val="0084166D"/>
    <w:rsid w:val="00853AC5"/>
    <w:rsid w:val="00854BB4"/>
    <w:rsid w:val="0085616C"/>
    <w:rsid w:val="008645D3"/>
    <w:rsid w:val="0086760C"/>
    <w:rsid w:val="00874421"/>
    <w:rsid w:val="008858FE"/>
    <w:rsid w:val="008A00C9"/>
    <w:rsid w:val="008A226A"/>
    <w:rsid w:val="008A2B40"/>
    <w:rsid w:val="008B3DE2"/>
    <w:rsid w:val="008B421E"/>
    <w:rsid w:val="008B6267"/>
    <w:rsid w:val="008C2A2A"/>
    <w:rsid w:val="008C2FAE"/>
    <w:rsid w:val="008C4816"/>
    <w:rsid w:val="008E53FA"/>
    <w:rsid w:val="008F279B"/>
    <w:rsid w:val="00912015"/>
    <w:rsid w:val="009237A0"/>
    <w:rsid w:val="00942659"/>
    <w:rsid w:val="00951C0F"/>
    <w:rsid w:val="00954AFE"/>
    <w:rsid w:val="00955E28"/>
    <w:rsid w:val="009647D1"/>
    <w:rsid w:val="00964AF5"/>
    <w:rsid w:val="00970FC5"/>
    <w:rsid w:val="00976C6E"/>
    <w:rsid w:val="00981385"/>
    <w:rsid w:val="00983099"/>
    <w:rsid w:val="00983612"/>
    <w:rsid w:val="00992E76"/>
    <w:rsid w:val="009A242E"/>
    <w:rsid w:val="009A7058"/>
    <w:rsid w:val="009B74C4"/>
    <w:rsid w:val="009C7071"/>
    <w:rsid w:val="009D293D"/>
    <w:rsid w:val="009E5E6C"/>
    <w:rsid w:val="009F02DB"/>
    <w:rsid w:val="009F7227"/>
    <w:rsid w:val="009F7A35"/>
    <w:rsid w:val="00A00073"/>
    <w:rsid w:val="00A2075F"/>
    <w:rsid w:val="00A23091"/>
    <w:rsid w:val="00A401D3"/>
    <w:rsid w:val="00A404A2"/>
    <w:rsid w:val="00A562AD"/>
    <w:rsid w:val="00A649FE"/>
    <w:rsid w:val="00A71FE3"/>
    <w:rsid w:val="00A903A0"/>
    <w:rsid w:val="00A9380B"/>
    <w:rsid w:val="00A9412D"/>
    <w:rsid w:val="00A973AE"/>
    <w:rsid w:val="00AA5C22"/>
    <w:rsid w:val="00AB0937"/>
    <w:rsid w:val="00AB38F1"/>
    <w:rsid w:val="00AB44C0"/>
    <w:rsid w:val="00AC7ADC"/>
    <w:rsid w:val="00AD1D33"/>
    <w:rsid w:val="00AD6140"/>
    <w:rsid w:val="00AE498F"/>
    <w:rsid w:val="00AF35EE"/>
    <w:rsid w:val="00AF5795"/>
    <w:rsid w:val="00B24EB2"/>
    <w:rsid w:val="00B3499B"/>
    <w:rsid w:val="00B44E4F"/>
    <w:rsid w:val="00B45D2C"/>
    <w:rsid w:val="00B54288"/>
    <w:rsid w:val="00B760E7"/>
    <w:rsid w:val="00B805E9"/>
    <w:rsid w:val="00B86E49"/>
    <w:rsid w:val="00B901F7"/>
    <w:rsid w:val="00B90AA4"/>
    <w:rsid w:val="00B96693"/>
    <w:rsid w:val="00BB4A06"/>
    <w:rsid w:val="00BB4E58"/>
    <w:rsid w:val="00BE4D9C"/>
    <w:rsid w:val="00BF1D45"/>
    <w:rsid w:val="00BF3163"/>
    <w:rsid w:val="00C22C27"/>
    <w:rsid w:val="00C25FBE"/>
    <w:rsid w:val="00C326A0"/>
    <w:rsid w:val="00C537EE"/>
    <w:rsid w:val="00C54B87"/>
    <w:rsid w:val="00C63CB5"/>
    <w:rsid w:val="00C66648"/>
    <w:rsid w:val="00C73645"/>
    <w:rsid w:val="00C73F83"/>
    <w:rsid w:val="00C753D6"/>
    <w:rsid w:val="00C94A39"/>
    <w:rsid w:val="00CA24A3"/>
    <w:rsid w:val="00CB689F"/>
    <w:rsid w:val="00CB7477"/>
    <w:rsid w:val="00CD0DEB"/>
    <w:rsid w:val="00CD703E"/>
    <w:rsid w:val="00CE071B"/>
    <w:rsid w:val="00CE1954"/>
    <w:rsid w:val="00CF24C8"/>
    <w:rsid w:val="00D11594"/>
    <w:rsid w:val="00D12332"/>
    <w:rsid w:val="00D2713B"/>
    <w:rsid w:val="00D34834"/>
    <w:rsid w:val="00D35439"/>
    <w:rsid w:val="00D545A5"/>
    <w:rsid w:val="00D545B4"/>
    <w:rsid w:val="00D64C63"/>
    <w:rsid w:val="00D6669D"/>
    <w:rsid w:val="00D75CF8"/>
    <w:rsid w:val="00D816A2"/>
    <w:rsid w:val="00D83BF2"/>
    <w:rsid w:val="00DA7D08"/>
    <w:rsid w:val="00DB111C"/>
    <w:rsid w:val="00DB429D"/>
    <w:rsid w:val="00DB7E53"/>
    <w:rsid w:val="00DC157A"/>
    <w:rsid w:val="00DC1AF9"/>
    <w:rsid w:val="00DC20E1"/>
    <w:rsid w:val="00DC77EB"/>
    <w:rsid w:val="00DD4F21"/>
    <w:rsid w:val="00DE25FB"/>
    <w:rsid w:val="00DF28B6"/>
    <w:rsid w:val="00DF2E76"/>
    <w:rsid w:val="00E11369"/>
    <w:rsid w:val="00E13B1D"/>
    <w:rsid w:val="00E2095E"/>
    <w:rsid w:val="00E20B81"/>
    <w:rsid w:val="00E250F2"/>
    <w:rsid w:val="00E3121E"/>
    <w:rsid w:val="00E329A9"/>
    <w:rsid w:val="00E339DC"/>
    <w:rsid w:val="00E43E99"/>
    <w:rsid w:val="00E644BD"/>
    <w:rsid w:val="00E71463"/>
    <w:rsid w:val="00E7416B"/>
    <w:rsid w:val="00E82821"/>
    <w:rsid w:val="00E90338"/>
    <w:rsid w:val="00EC1DFF"/>
    <w:rsid w:val="00ED6478"/>
    <w:rsid w:val="00EE46E9"/>
    <w:rsid w:val="00F02DD3"/>
    <w:rsid w:val="00F26053"/>
    <w:rsid w:val="00F32077"/>
    <w:rsid w:val="00F3552B"/>
    <w:rsid w:val="00F417A8"/>
    <w:rsid w:val="00F43FD4"/>
    <w:rsid w:val="00F5050C"/>
    <w:rsid w:val="00F51852"/>
    <w:rsid w:val="00F55C7D"/>
    <w:rsid w:val="00F675EC"/>
    <w:rsid w:val="00F701E9"/>
    <w:rsid w:val="00F70AC7"/>
    <w:rsid w:val="00FA0D2D"/>
    <w:rsid w:val="00FA5EB1"/>
    <w:rsid w:val="00FA7673"/>
    <w:rsid w:val="00FA77FB"/>
    <w:rsid w:val="00FB18EF"/>
    <w:rsid w:val="00FB1CF3"/>
    <w:rsid w:val="00FB51DC"/>
    <w:rsid w:val="00FC2CB6"/>
    <w:rsid w:val="00FC36C3"/>
    <w:rsid w:val="00FD62C8"/>
    <w:rsid w:val="00FE0FF6"/>
    <w:rsid w:val="00FF3074"/>
    <w:rsid w:val="00FF4728"/>
    <w:rsid w:val="00FF4F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7BC2D-1558-4D78-9E3A-7F97D3E01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10019-3562-4F6E-99DF-167D2C7A9568}">
  <ds:schemaRefs>
    <ds:schemaRef ds:uri="http://schemas.microsoft.com/sharepoint/v3/contenttype/forms"/>
  </ds:schemaRefs>
</ds:datastoreItem>
</file>

<file path=customXml/itemProps3.xml><?xml version="1.0" encoding="utf-8"?>
<ds:datastoreItem xmlns:ds="http://schemas.openxmlformats.org/officeDocument/2006/customXml" ds:itemID="{A684BA35-5D8A-4488-87C5-42BB9E0D961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6C4F89C1-55DF-4DD9-A048-363280F55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Intel-Bharat</cp:lastModifiedBy>
  <cp:revision>2</cp:revision>
  <dcterms:created xsi:type="dcterms:W3CDTF">2017-05-06T06:28:00Z</dcterms:created>
  <dcterms:modified xsi:type="dcterms:W3CDTF">2017-05-06T06:28:00Z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2017-03-24 11:44:43Z</vt:lpwstr>
  </property>
  <property fmtid="{D5CDD505-2E9C-101B-9397-08002B2CF9AE}" pid="6" name="CTPClassification">
    <vt:lpwstr>CTP_IC</vt:lpwstr>
  </property>
</Properties>
</file>